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MLA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Landscape Architecture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Architecture and Landscape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MLA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Landscape Architecture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Cert.Landscape Design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MA Landscape Design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Dip. Landscape Design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PPLAN1LAN01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PFLAN1LAN01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Architecture &amp; Landscape,  School of Art and Architecture,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Landscape Institute LI UK</w:t>
            </w:r>
            <w:r w:rsidRPr="2030048C">
              <w:rPr>
                <w:rStyle w:val="normaltextrun"/>
                <w:rFonts w:ascii="Arial" w:eastAsia="Arial" w:hAnsi="Arial" w:cs="Arial"/>
                <w:b/>
                <w:bCs/>
                <w:color w:val="000000"/>
                <w:sz w:val="22"/>
                <w:szCs w:val="22"/>
                <w:shd w:val="clear" w:color="auto" w:fill="FFFFFF"/>
              </w:rPr>
              <w:t xml:space="preserve"> (and recognition by International Federation of Landscape Architects IFLA)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jc w:val="both"/>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ind w:left="360" w:right="0"/>
        <w:jc w:val="both"/>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The MLA Landscape Architecture aims to provide an effective landscape architecture </w:t>
      </w:r>
      <w:r w:rsidRPr="2030048C">
        <w:rPr>
          <w:rStyle w:val="normaltextrun"/>
          <w:rFonts w:ascii="Arial" w:eastAsia="Arial" w:hAnsi="Arial" w:cs="Arial"/>
          <w:color w:val="000000" w:themeColor="text1"/>
          <w:sz w:val="22"/>
          <w:szCs w:val="22"/>
          <w:shd w:val="clear" w:color="auto" w:fill="FFFFFF"/>
        </w:rPr>
        <w:t>‘professional advancement’ programme or</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practice-facing professional </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‘conversion’ programme where motivated graduates bring knowledge, understanding, creativity and skills from landscape and related disciplines to the professional study of landscape architecture, to support progression towards a professional career in landscape and interdisciplinary practice and research. </w:t>
      </w:r>
    </w:p>
    <w:p w:rsidRPr="2030048C" w:rsidP="2030048C">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course is designed for talented students who have achieved a good degree in landscape or a related discipline and aims to:</w:t>
      </w:r>
    </w:p>
    <w:p w:rsidRPr="2030048C" w:rsidP="2030048C">
      <w:pPr>
        <w:pStyle w:val="p0"/>
        <w:spacing w:before="0" w:after="0"/>
        <w:ind w:left="0" w:right="0"/>
        <w:jc w:val="both"/>
        <w:rPr>
          <w:rStyle w:val="normaltextrun"/>
          <w:rFonts w:ascii="Arial" w:eastAsia="Arial" w:hAnsi="Arial" w:cs="Arial"/>
          <w:color w:val="000000" w:themeColor="text1"/>
          <w:sz w:val="22"/>
          <w:szCs w:val="22"/>
          <w:shd w:val="clear" w:color="auto" w:fill="FFFFFF"/>
        </w:rPr>
      </w:pPr>
    </w:p>
    <w:p w:rsidRPr="2030048C" w:rsidP="2030048C">
      <w:pPr>
        <w:pStyle w:val="li"/>
        <w:numPr>
          <w:ilvl w:val="0"/>
          <w:numId w:val="12"/>
        </w:numPr>
        <w:pBdr>
          <w:left w:val="none" w:sz="0" w:space="7" w:color="auto"/>
        </w:pBdr>
        <w:spacing w:before="0" w:after="6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Prepare students for effective and informed employment in the expanding profession of landscape architecture and in diverse interdisciplinary contexts of creative contemporary landscape and environment practice;</w:t>
      </w:r>
    </w:p>
    <w:p w:rsidRPr="2030048C" w:rsidP="2030048C">
      <w:pPr>
        <w:pStyle w:val="li"/>
        <w:numPr>
          <w:ilvl w:val="0"/>
          <w:numId w:val="12"/>
        </w:numPr>
        <w:pBdr>
          <w:left w:val="none" w:sz="0" w:space="7" w:color="auto"/>
        </w:pBdr>
        <w:spacing w:before="0" w:after="6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Provide a stimulating educational experience that meets and exceeds the requirements of the profession of landscape architecture and involves students in practitioner and live project engagement, to explore the critical scope and potentials of the field;</w:t>
      </w:r>
    </w:p>
    <w:p w:rsidRPr="2030048C" w:rsidP="2030048C">
      <w:pPr>
        <w:pStyle w:val="ListParagraph0"/>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Develop and extend critical landscape literacy, knowledge, understanding, and skills,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in relation to co-design and production in the interdisciplinary context of study and in relation to the work of co-professionals; </w:t>
      </w:r>
    </w:p>
    <w:p w:rsidRPr="2030048C" w:rsidP="2030048C">
      <w:pPr>
        <w:pStyle w:val="ListParagraph0"/>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Engage students in strategic and detailed design proposals, their critical evaluation and effective Landscape Architectural advocacy and resolution;</w:t>
      </w:r>
    </w:p>
    <w:p w:rsidRPr="2030048C" w:rsidP="2030048C">
      <w:pPr>
        <w:pStyle w:val="ListParagraph0"/>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Support the development of a personal portfolio for individual career advancement in the field of landscape architecture; including the Landscape Architecture Thesis Project.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a portfolio of projects and a ‘capstone project’ to support and focus individual and professional career–practice and research ambitions.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in the development of a personal portfolio,professional practice report and landscape  manifesto.</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Achieve and demonstrate self-confidence, skill and creativity, in presenting their work and ideas alongside those of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Deliver and communicate evidence of in-depth knowledge and critique of seminal texts and precedent projects relevant to contemporary landscape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Achieve and deliver critical thinking and its application in relation to theory and ethical, inclusive, sustainable practice of landscape architecture.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and exercise a range of practical professional skills appropriate to landscape architecture projects, and  in an interdisciplinary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aesthetic, ethical and pragmatic discrimination in the choice of materials, construction strategies, processes and their specification, appropriate to the MLA and preparation for reflective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in relation to the exploration, evaluation, advocacy of effective landscape design strategy.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Achieve the production of a creative landscape architecture portfolio, professional practice management report and exhibition or digital publication of the ‘capstone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Deliver evidence of in-depth understanding of professional practice  implications and responsibilities of the landscape architect, co-professionals and specialists, in design project proposals, ethical and sustainable practice, appropriate to the Landscape Institute Educational Framework.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Achieve and communicate critical evaluation and proposition, in interdisciplinary teams and working individually.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Achieve and demonstrate a high level of skill in primary and secondary research; particularly in relation to project briefings, site appraisal and appropriate data gathering and mapping.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five modules totalling 300 credits: four 30 credit and three 60 credit modules at Level 7, and is studied over 2 years full-time, or 4 years part-time.  All students will be provided with the University Postgraduate Regulations (PR) and specific additions, as required for accreditation by the Landscape Institute. Full details of each module will be provided in module descriptors and student module guides. All students receive the Course Handbook. Typically students must complete 150 credits at each year on the full-time mode and 90, 60, 90 and 60 credits in each year respectively on the part-time 4-year mode. Full-time students are required to pass 150 credits in Year 1 in order to progress to Year 2. Part-time students are required to pass each year’s credits in order to progress to the next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MLA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Landscape Architecture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MLA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Landscape Architecture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Ecology, Design and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Landscape Architecture Thesis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Landscape Architecture: Portfolio</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Landscape Architecture: Primer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Landscape Architecture: Reading, Research and Narrative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Seminars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Theory and Discourse in Landscape and Urbanism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LD7206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180 credits are eligible for the MA Landscape Design</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The programme is designed to take account of the KU Curriculum Design Principles.</w:t>
      </w:r>
    </w:p>
    <w:p w:rsidRPr="2030048C" w:rsidP="2030048C">
      <w:pPr>
        <w:rPr>
          <w:rFonts w:ascii="Arial" w:eastAsia="Arial" w:hAnsi="Arial" w:cs="Arial"/>
          <w:sz w:val="24"/>
          <w:szCs w:val="24"/>
        </w:rPr>
      </w:pPr>
      <w:r w:rsidRPr="2030048C">
        <w:rPr>
          <w:rFonts w:ascii="Arial" w:eastAsia="Arial" w:hAnsi="Arial" w:cs="Arial"/>
          <w:sz w:val="24"/>
          <w:szCs w:val="24"/>
        </w:rPr>
        <w:t>In particular the Masters level programme aims to encourage students to become flexible and independent learners, to take ownership of their learning and become proactive, reflective and independent practitioners. This includes peer learning and group work, as well as independent study, in a range of contexts which may include Landscape Interface Studio live projects engagement: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‘Workshops’ and ‘charrettes’</w:t>
      </w:r>
    </w:p>
    <w:p w:rsidRPr="2030048C" w:rsidP="2030048C">
      <w:pPr>
        <w:rPr>
          <w:rFonts w:ascii="Arial" w:eastAsia="Arial" w:hAnsi="Arial" w:cs="Arial"/>
          <w:sz w:val="24"/>
          <w:szCs w:val="24"/>
        </w:rPr>
      </w:pPr>
      <w:r w:rsidRPr="2030048C">
        <w:rPr>
          <w:rFonts w:ascii="Arial" w:eastAsia="Arial" w:hAnsi="Arial" w:cs="Arial"/>
          <w:sz w:val="24"/>
          <w:szCs w:val="24"/>
        </w:rPr>
        <w:t>provide intensive focus and require students to deliver a range of defined outcomes in a short time. Practitioner and group interaction allows for collaborative outputs and the development of individual competencies.  Students are encouraged to share skills, knowledge and learning in a proactive environment, to support interdisciplinary ‘action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Design studio, tutorials and critiques (crits)</w:t>
      </w:r>
    </w:p>
    <w:p w:rsidRPr="2030048C" w:rsidP="2030048C">
      <w:pPr>
        <w:rPr>
          <w:rFonts w:ascii="Arial" w:eastAsia="Arial" w:hAnsi="Arial" w:cs="Arial"/>
          <w:sz w:val="24"/>
          <w:szCs w:val="24"/>
        </w:rPr>
      </w:pPr>
      <w:r w:rsidRPr="2030048C">
        <w:rPr>
          <w:rFonts w:ascii="Arial" w:eastAsia="Arial" w:hAnsi="Arial" w:cs="Arial"/>
          <w:sz w:val="24"/>
          <w:szCs w:val="24"/>
        </w:rPr>
        <w:t>are interactive and encourage peer engagement and independent development. Tutorials and critiques are inclusive of peer input and reflection, to highlight the knowledge within the group. Tutorials and crits encourage student interaction in advancing knowledge, capacity and ambition, as well as providing feedback and ‘feed forward’. Students and their peers are required to make notes during these sessions to propel individual and group attainment.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Lectures and seminars</w:t>
      </w:r>
    </w:p>
    <w:p w:rsidRPr="2030048C" w:rsidP="2030048C">
      <w:pPr>
        <w:rPr>
          <w:rFonts w:ascii="Arial" w:eastAsia="Arial" w:hAnsi="Arial" w:cs="Arial"/>
          <w:sz w:val="24"/>
          <w:szCs w:val="24"/>
        </w:rPr>
      </w:pPr>
      <w:r w:rsidRPr="2030048C">
        <w:rPr>
          <w:rFonts w:ascii="Arial" w:eastAsia="Arial" w:hAnsi="Arial" w:cs="Arial"/>
          <w:sz w:val="24"/>
          <w:szCs w:val="24"/>
        </w:rPr>
        <w:t>are inclusive of guests and provide opportunities for interactive dialogue. Students are required to submit notebook summaries of content and reflection, for formative feedback. Seminars may be student-led to promote the acquisition of knowledge and its confident presentation.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Study visits</w:t>
      </w:r>
    </w:p>
    <w:p w:rsidRPr="2030048C" w:rsidP="2030048C">
      <w:pPr>
        <w:rPr>
          <w:rFonts w:ascii="Arial" w:eastAsia="Arial" w:hAnsi="Arial" w:cs="Arial"/>
          <w:sz w:val="24"/>
          <w:szCs w:val="24"/>
        </w:rPr>
      </w:pPr>
      <w:r w:rsidRPr="2030048C">
        <w:rPr>
          <w:rFonts w:ascii="Arial" w:eastAsia="Arial" w:hAnsi="Arial" w:cs="Arial"/>
          <w:sz w:val="24"/>
          <w:szCs w:val="24"/>
        </w:rPr>
        <w:t>engage students in shared investigation of site and context, including meetings with professionals, communities, and clients, as appropriate. These include management, ambition and creativity in gathering evidence and information, to support project development.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Live projects</w:t>
      </w:r>
    </w:p>
    <w:p w:rsidRPr="2030048C" w:rsidP="2030048C">
      <w:pPr>
        <w:rPr>
          <w:rFonts w:ascii="Arial" w:eastAsia="Arial" w:hAnsi="Arial" w:cs="Arial"/>
          <w:sz w:val="24"/>
          <w:szCs w:val="24"/>
        </w:rPr>
      </w:pPr>
      <w:r w:rsidRPr="2030048C">
        <w:rPr>
          <w:rFonts w:ascii="Arial" w:eastAsia="Arial" w:hAnsi="Arial" w:cs="Arial"/>
          <w:sz w:val="24"/>
          <w:szCs w:val="24"/>
        </w:rPr>
        <w:t>engage students in contexts outside of the university, as appropriate, with client and community interaction. This is a context for public peer learning, reflection and exchange of skills and ideas. It prepares students for effective professional interaction.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Critical case study</w:t>
      </w:r>
    </w:p>
    <w:p w:rsidRPr="2030048C" w:rsidP="2030048C">
      <w:pPr>
        <w:rPr>
          <w:rFonts w:ascii="Arial" w:eastAsia="Arial" w:hAnsi="Arial" w:cs="Arial"/>
          <w:sz w:val="24"/>
          <w:szCs w:val="24"/>
        </w:rPr>
      </w:pPr>
      <w:r w:rsidRPr="2030048C">
        <w:rPr>
          <w:rFonts w:ascii="Arial" w:eastAsia="Arial" w:hAnsi="Arial" w:cs="Arial"/>
          <w:sz w:val="24"/>
          <w:szCs w:val="24"/>
        </w:rPr>
        <w:t>students engage in critical reflection on a specific case study project and the presentation of findings to the peer group for feedback and reappraisal as necessary.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Personal development plan</w:t>
      </w:r>
    </w:p>
    <w:p w:rsidRPr="2030048C" w:rsidP="2030048C">
      <w:pPr>
        <w:rPr>
          <w:rFonts w:ascii="Arial" w:eastAsia="Arial" w:hAnsi="Arial" w:cs="Arial"/>
          <w:sz w:val="24"/>
          <w:szCs w:val="24"/>
        </w:rPr>
      </w:pPr>
      <w:r w:rsidRPr="2030048C">
        <w:rPr>
          <w:rFonts w:ascii="Arial" w:eastAsia="Arial" w:hAnsi="Arial" w:cs="Arial"/>
          <w:sz w:val="24"/>
          <w:szCs w:val="24"/>
        </w:rPr>
        <w:t>requires ownership of a personal learning agenda, and specifically identification of skills and knowledge gaps as well as strengths from the start of the programme. This informs independent and peer learning and the identification of summer work experience focus, in discussion with tutors. This is assessed formatively.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Virtual Learning Environment (VLE)</w:t>
      </w:r>
    </w:p>
    <w:p w:rsidRPr="2030048C" w:rsidP="2030048C">
      <w:pPr>
        <w:rPr>
          <w:rFonts w:ascii="Arial" w:eastAsia="Arial" w:hAnsi="Arial" w:cs="Arial"/>
          <w:sz w:val="24"/>
          <w:szCs w:val="24"/>
        </w:rPr>
      </w:pPr>
      <w:r w:rsidRPr="2030048C">
        <w:rPr>
          <w:rFonts w:ascii="Arial" w:eastAsia="Arial" w:hAnsi="Arial" w:cs="Arial"/>
          <w:sz w:val="24"/>
          <w:szCs w:val="24"/>
        </w:rPr>
        <w:t>A range of learning and digital technologies are used to enhance the students’ ownership of their learning experience and facilitate peer as well as student-tutor interaction.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complexity of the subject and its multiple layers of knowledge and information takes advantage of possibilities for large data storage and sharing, and contacts via digital media, including: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Dropbox, MediaFire, KU VLE/Canvas, and Landscape Interface Studio Blog, Twitter and LinkedIn.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Building Information Modelling (BIM) is specifically included in the curriculum to prepare students for its effective use in practice.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curriculum is designed to provide: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intensive fast-paced workshops to support immediate skills enhancement;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dynamic and stimulating experience, in which emerging and established knowledge and practice underpin landscape architecture learning;</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motivation and support to encourage students (individually and in groups) to develop distinctive project proposals, effective professional practice reports, design development and communication, with clearly expressed research;</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grounding and support for a critical and creative Landscape Architecture Portfolio.</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pedagogic principles: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bring together MLA Landscape Architecture  with other Landscape Architecture and Landscape &amp; Urbanism students to benefit from international collaboration, and interdisciplinary transfer of knowledge and skills;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include varied delivery and interaction between students, tutors, specialists, with clear critique and assessment, individual and team work, self and peer review and guidance for improved results;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identify  opportunities to work with targeted competitions, clients, alumni, at different  scales of experience from the individual, to the community, and city scale;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develop  student knowledge and experience, career ambitions and experience of diverse demands of contemporary creative practice; making use of the Art, Design and Architecture Faculty resources: research expertise, studios, workshops,  library, and local landscape resources.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is practice and research-led and a shared interdisciplinary studio experience, with the intention of extending creativity, individual confidence and the reach of professional and academic experience for students across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LinkedIn Learning –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Assessment is both summative and formative. Summative assessment identifies what has been learned (assessment of learning) and therefore the assessed mark informs the module grade awarded. Formative assessment is intended to help students to learn (assessment for learning) and provides support for student in identifying their strengths and weaknesses and focusing on areas they need to work on and improve. The assessment strategy and criteria are described written briefs, on the module’s canvas page, and mapped to the module’s learning outcomes.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assessment strategies reflect the range of outputs that are required in the contemporary practice of Landscape Architecture and help students prepare for their ongoing professional development through the Landscape Institute’s Pathway to Chartership for example. Below is a description of outputs that are submitted for assessment: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Portfolio</w:t>
      </w:r>
    </w:p>
    <w:p w:rsidRPr="2030048C" w:rsidP="2030048C">
      <w:pPr>
        <w:rPr>
          <w:rFonts w:ascii="Arial" w:eastAsia="Arial" w:hAnsi="Arial" w:cs="Arial"/>
          <w:sz w:val="24"/>
          <w:szCs w:val="24"/>
        </w:rPr>
      </w:pPr>
      <w:r w:rsidRPr="2030048C">
        <w:rPr>
          <w:rFonts w:ascii="Arial" w:eastAsia="Arial" w:hAnsi="Arial" w:cs="Arial"/>
          <w:sz w:val="22"/>
          <w:szCs w:val="22"/>
        </w:rPr>
        <w:t>The Portfolio is an edited document comprised of multi-media content (drawings, texts, images, audio content, film, etc) that records the design process and resolution of a design project, responding to the requirements of a given brief.</w:t>
      </w:r>
    </w:p>
    <w:p w:rsidRPr="2030048C" w:rsidP="2030048C">
      <w:pPr>
        <w:rPr>
          <w:rFonts w:ascii="Arial" w:eastAsia="Arial" w:hAnsi="Arial" w:cs="Arial"/>
          <w:sz w:val="24"/>
          <w:szCs w:val="24"/>
        </w:rPr>
      </w:pPr>
      <w:r w:rsidRPr="2030048C">
        <w:rPr>
          <w:rFonts w:ascii="Arial" w:eastAsia="Arial" w:hAnsi="Arial" w:cs="Arial"/>
          <w:sz w:val="22"/>
          <w:szCs w:val="22"/>
        </w:rPr>
        <w:t> </w:t>
      </w:r>
    </w:p>
    <w:p w:rsidRPr="2030048C" w:rsidP="2030048C">
      <w:pPr>
        <w:rPr>
          <w:rFonts w:ascii="Arial" w:eastAsia="Arial" w:hAnsi="Arial" w:cs="Arial"/>
          <w:sz w:val="24"/>
          <w:szCs w:val="24"/>
        </w:rPr>
      </w:pPr>
      <w:r w:rsidRPr="2030048C">
        <w:rPr>
          <w:rFonts w:ascii="Arial" w:eastAsia="Arial" w:hAnsi="Arial" w:cs="Arial"/>
          <w:b/>
          <w:bCs/>
          <w:sz w:val="22"/>
          <w:szCs w:val="22"/>
        </w:rPr>
        <w:t>Critical Case Study Report</w:t>
      </w:r>
    </w:p>
    <w:p w:rsidRPr="2030048C" w:rsidP="2030048C">
      <w:pPr>
        <w:rPr>
          <w:rFonts w:ascii="Arial" w:eastAsia="Arial" w:hAnsi="Arial" w:cs="Arial"/>
          <w:sz w:val="24"/>
          <w:szCs w:val="24"/>
        </w:rPr>
      </w:pPr>
      <w:r w:rsidRPr="2030048C">
        <w:rPr>
          <w:rFonts w:ascii="Arial" w:eastAsia="Arial" w:hAnsi="Arial" w:cs="Arial"/>
          <w:sz w:val="22"/>
          <w:szCs w:val="22"/>
        </w:rPr>
        <w:t xml:space="preserve">A critical case study report documents a critical appraisal of a case study aiming to explore and develop understanding of the processes and impacts of landscape architecture projects and the process of design and making. The case study is selected with tutor guidance to respond to the particular interests of the student,  and also the areas of knowledge and expertise which students need to develop for future professional practice in landscape architecture. The Report typically includes annotated graphics and a text-based component, or any other media necessary, according to project and module.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Project Report</w:t>
      </w:r>
    </w:p>
    <w:p w:rsidRPr="2030048C" w:rsidP="2030048C">
      <w:pPr>
        <w:rPr>
          <w:rFonts w:ascii="Arial" w:eastAsia="Arial" w:hAnsi="Arial" w:cs="Arial"/>
          <w:sz w:val="24"/>
          <w:szCs w:val="24"/>
        </w:rPr>
      </w:pPr>
      <w:r w:rsidRPr="2030048C">
        <w:rPr>
          <w:rFonts w:ascii="Arial" w:eastAsia="Arial" w:hAnsi="Arial" w:cs="Arial"/>
          <w:sz w:val="22"/>
          <w:szCs w:val="22"/>
        </w:rPr>
        <w:t>The Project Report is a graphic report, illustrated with drawings that describe the design process and the professional practice context of a project proposal to include and illustrate the professional stages of work, legal and regulatory frameworks and professional responsibilities and ethics of the practice of landscape architecture and working relationships with co-professionals.  The report makes particular reference to the Landscape Institute codes of conduct and wider professional contexts including EU and international as appropriate.  </w:t>
      </w:r>
    </w:p>
    <w:p w:rsidRPr="2030048C" w:rsidP="2030048C">
      <w:pPr>
        <w:rPr>
          <w:rFonts w:ascii="Arial" w:eastAsia="Arial" w:hAnsi="Arial" w:cs="Arial"/>
          <w:sz w:val="24"/>
          <w:szCs w:val="24"/>
        </w:rPr>
      </w:pPr>
      <w:r w:rsidRPr="2030048C">
        <w:rPr>
          <w:rFonts w:ascii="Arial" w:eastAsia="Arial" w:hAnsi="Arial" w:cs="Arial"/>
          <w:b/>
          <w:bCs/>
          <w:sz w:val="22"/>
          <w:szCs w:val="22"/>
        </w:rPr>
        <w:t>Landscape Architecture Thesis Project</w:t>
      </w:r>
    </w:p>
    <w:p w:rsidRPr="2030048C" w:rsidP="2030048C">
      <w:pPr>
        <w:rPr>
          <w:rFonts w:ascii="Arial" w:eastAsia="Arial" w:hAnsi="Arial" w:cs="Arial"/>
          <w:sz w:val="24"/>
          <w:szCs w:val="24"/>
        </w:rPr>
      </w:pPr>
      <w:r w:rsidRPr="2030048C">
        <w:rPr>
          <w:rFonts w:ascii="Arial" w:eastAsia="Arial" w:hAnsi="Arial" w:cs="Arial"/>
          <w:sz w:val="22"/>
          <w:szCs w:val="22"/>
        </w:rPr>
        <w:t>This is the ‘capstone project’ of the MLA and is designed to give students the opportunity to present a synthesised design proposition the tests and challenges their skills across the spectrum of professional competencies and outputs and their communication and dissemination. This is a project that will be presented through drawings and appropriate media with a portfolio of work of the ‘journey’ or progression of the project with a clear text</w:t>
      </w:r>
    </w:p>
    <w:p w:rsidRPr="2030048C" w:rsidP="2030048C">
      <w:pPr>
        <w:rPr>
          <w:rFonts w:ascii="Arial" w:eastAsia="Arial" w:hAnsi="Arial" w:cs="Arial"/>
          <w:sz w:val="24"/>
          <w:szCs w:val="24"/>
        </w:rPr>
      </w:pPr>
      <w:r w:rsidRPr="2030048C">
        <w:rPr>
          <w:rFonts w:ascii="Arial" w:eastAsia="Arial" w:hAnsi="Arial" w:cs="Arial"/>
          <w:sz w:val="22"/>
          <w:szCs w:val="22"/>
        </w:rPr>
        <w:t>Narrative that enables dissemination.  A curated document for digital publication or exhibition is to be presented alongside the portfolio of the process.</w:t>
      </w:r>
    </w:p>
    <w:p w:rsidRPr="2030048C" w:rsidP="2030048C">
      <w:pPr>
        <w:rPr>
          <w:rFonts w:ascii="Arial" w:eastAsia="Arial" w:hAnsi="Arial" w:cs="Arial"/>
          <w:sz w:val="24"/>
          <w:szCs w:val="24"/>
        </w:rPr>
      </w:pPr>
      <w:r w:rsidRPr="2030048C">
        <w:rPr>
          <w:rFonts w:ascii="Arial" w:eastAsia="Arial" w:hAnsi="Arial" w:cs="Arial"/>
          <w:sz w:val="24"/>
          <w:szCs w:val="24"/>
        </w:rPr>
        <w:t xml:space="preserv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pStyle w:val="p"/>
        <w:jc w:val="both"/>
        <w:rPr>
          <w:rFonts w:ascii="Arial" w:eastAsia="Arial" w:hAnsi="Arial" w:cs="Arial"/>
          <w:sz w:val="24"/>
          <w:szCs w:val="24"/>
        </w:rPr>
      </w:pPr>
      <w:r w:rsidRPr="2030048C">
        <w:rPr>
          <w:rFonts w:ascii="Arial" w:eastAsia="Arial" w:hAnsi="Arial" w:cs="Arial"/>
          <w:b/>
          <w:bCs/>
          <w:sz w:val="22"/>
          <w:szCs w:val="22"/>
        </w:rPr>
        <w:t>Landscape Institute</w:t>
      </w:r>
      <w:r w:rsidRPr="2030048C">
        <w:rPr>
          <w:rFonts w:ascii="Arial" w:eastAsia="Arial" w:hAnsi="Arial" w:cs="Arial"/>
          <w:sz w:val="24"/>
          <w:szCs w:val="24"/>
        </w:rPr>
        <w:t xml:space="preserve">  </w:t>
      </w:r>
    </w:p>
    <w:p w:rsidRPr="2030048C" w:rsidP="2030048C">
      <w:pPr>
        <w:pStyle w:val="p"/>
        <w:jc w:val="both"/>
        <w:rPr>
          <w:rFonts w:ascii="Arial" w:eastAsia="Arial" w:hAnsi="Arial" w:cs="Arial"/>
          <w:sz w:val="24"/>
          <w:szCs w:val="24"/>
        </w:rPr>
      </w:pPr>
      <w:hyperlink r:id="rId11" w:history="1">
        <w:r w:rsidRPr="2030048C">
          <w:rPr>
            <w:rFonts w:ascii="Arial" w:eastAsia="Arial" w:hAnsi="Arial" w:cs="Arial"/>
            <w:sz w:val="22"/>
            <w:szCs w:val="22"/>
          </w:rPr>
          <w:t xml:space="preserve">https://www.landscapeinstitute.org/ </w:t>
        </w:r>
      </w:hyperlink>
    </w:p>
    <w:p w:rsidRPr="2030048C" w:rsidP="2030048C">
      <w:pPr>
        <w:pStyle w:val="p"/>
        <w:jc w:val="both"/>
        <w:rPr>
          <w:rFonts w:ascii="Arial" w:eastAsia="Arial" w:hAnsi="Arial" w:cs="Arial"/>
          <w:sz w:val="24"/>
          <w:szCs w:val="24"/>
        </w:rPr>
      </w:pPr>
      <w:hyperlink r:id="rId11" w:history="1">
        <w:r w:rsidRPr="2030048C">
          <w:rPr>
            <w:rFonts w:ascii="Arial" w:eastAsia="Arial" w:hAnsi="Arial" w:cs="Arial"/>
            <w:sz w:val="24"/>
            <w:szCs w:val="24"/>
          </w:rPr>
          <w:t>https://www.landscapeinstitute.org/</w:t>
        </w:r>
      </w:hyperlink>
    </w:p>
    <w:p w:rsidRPr="2030048C" w:rsidP="2030048C">
      <w:pPr>
        <w:pStyle w:val="p"/>
        <w:jc w:val="both"/>
        <w:rPr>
          <w:rFonts w:ascii="Arial" w:eastAsia="Arial" w:hAnsi="Arial" w:cs="Arial"/>
          <w:sz w:val="24"/>
          <w:szCs w:val="24"/>
        </w:rPr>
      </w:pPr>
      <w:r w:rsidRPr="2030048C">
        <w:rPr>
          <w:rFonts w:ascii="Arial" w:eastAsia="Arial" w:hAnsi="Arial" w:cs="Arial"/>
          <w:b/>
          <w:bCs/>
          <w:sz w:val="22"/>
          <w:szCs w:val="22"/>
        </w:rPr>
        <w:t>European Landscape Convention, Council of Europe</w:t>
      </w:r>
    </w:p>
    <w:p w:rsidRPr="2030048C" w:rsidP="2030048C">
      <w:pPr>
        <w:pStyle w:val="p"/>
        <w:jc w:val="both"/>
        <w:rPr>
          <w:rFonts w:ascii="Arial" w:eastAsia="Arial" w:hAnsi="Arial" w:cs="Arial"/>
          <w:sz w:val="24"/>
          <w:szCs w:val="24"/>
        </w:rPr>
      </w:pPr>
      <w:hyperlink r:id="rId12" w:history="1">
        <w:r w:rsidRPr="2030048C">
          <w:rPr>
            <w:rFonts w:ascii="Arial" w:eastAsia="Arial" w:hAnsi="Arial" w:cs="Arial"/>
            <w:sz w:val="22"/>
            <w:szCs w:val="22"/>
          </w:rPr>
          <w:t>http://www.coe.int/t/dg4/cultureheritage/heritage/Landscape/default_en.asp</w:t>
        </w:r>
      </w:hyperlink>
    </w:p>
    <w:p w:rsidRPr="2030048C" w:rsidP="2030048C">
      <w:pPr>
        <w:pStyle w:val="p"/>
        <w:jc w:val="both"/>
        <w:rPr>
          <w:rFonts w:ascii="Arial" w:eastAsia="Arial" w:hAnsi="Arial" w:cs="Arial"/>
          <w:sz w:val="24"/>
          <w:szCs w:val="24"/>
        </w:rPr>
      </w:pPr>
      <w:hyperlink r:id="rId12" w:history="1">
        <w:r w:rsidRPr="2030048C">
          <w:rPr>
            <w:rFonts w:ascii="Arial" w:eastAsia="Arial" w:hAnsi="Arial" w:cs="Arial"/>
            <w:sz w:val="24"/>
            <w:szCs w:val="24"/>
          </w:rPr>
          <w:t>http://www.coe.int/t/dg4/cultureheritage/heritage/Landscape/default_en.asp</w:t>
        </w:r>
      </w:hyperlink>
    </w:p>
    <w:p w:rsidRPr="2030048C" w:rsidP="2030048C">
      <w:pPr>
        <w:pStyle w:val="p"/>
        <w:jc w:val="both"/>
        <w:rPr>
          <w:rFonts w:ascii="Arial" w:eastAsia="Arial" w:hAnsi="Arial" w:cs="Arial"/>
          <w:sz w:val="24"/>
          <w:szCs w:val="24"/>
        </w:rPr>
      </w:pPr>
      <w:r w:rsidRPr="2030048C">
        <w:rPr>
          <w:rFonts w:ascii="Arial" w:eastAsia="Arial" w:hAnsi="Arial" w:cs="Arial"/>
          <w:b/>
          <w:bCs/>
          <w:sz w:val="22"/>
          <w:szCs w:val="22"/>
        </w:rPr>
        <w:t>Landscape Interface Studio website</w:t>
      </w:r>
    </w:p>
    <w:p w:rsidRPr="2030048C" w:rsidP="2030048C">
      <w:pPr>
        <w:rPr>
          <w:rFonts w:ascii="Arial" w:eastAsia="Arial" w:hAnsi="Arial" w:cs="Arial"/>
          <w:sz w:val="24"/>
          <w:szCs w:val="24"/>
        </w:rPr>
      </w:pPr>
      <w:hyperlink r:id="rId13" w:history="1">
        <w:r w:rsidRPr="2030048C">
          <w:rPr>
            <w:rFonts w:ascii="Arial" w:eastAsia="Arial" w:hAnsi="Arial" w:cs="Arial"/>
            <w:sz w:val="22"/>
            <w:szCs w:val="22"/>
          </w:rPr>
          <w:t>http://landscapeiskingston.wordpress.com</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112"/>
        <w:gridCol w:w="367"/>
        <w:gridCol w:w="914"/>
        <w:gridCol w:w="914"/>
        <w:gridCol w:w="914"/>
        <w:gridCol w:w="914"/>
        <w:gridCol w:w="914"/>
        <w:gridCol w:w="914"/>
        <w:gridCol w:w="91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LD7208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Arial" w:eastAsia="Arial" w:hAnsi="Arial" w:cs="Arial"/>
      <w:sz w:val="22"/>
      <w:szCs w:val="22"/>
    </w:rPr>
  </w:style>
  <w:style w:type="paragraph" w:customStyle="1" w:styleId="p0">
    <w:name w:val="p_0"/>
    <w:basedOn w:val="ListParagraph"/>
  </w:style>
  <w:style w:type="paragraph" w:customStyle="1" w:styleId="li">
    <w:name w:val="li"/>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ndscapeiskingston.wordpress.com/"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coe.int/t/dg4/cultureheritage/heritage/Landscape/default_en.asp"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landscapeinstitute.org/"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48ED5FA-C5A0-49F8-ACF5-AC0168CEC55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