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MFA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Fine Art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Fine Art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MFA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Fine Art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Fine Art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 Fine Art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PFART1ART01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Fine Art School of Art and Architecture Kingston School of Art</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For the MFA award, the field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produce students who will go on to work at a high level within the field, bringing to it innovative ideas that will challenge and progress established practices.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an academic and technical education which enables the development and evaluation of individual creativity in contemporary fine art practice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foster a developing dialogue between theoretical and practical issues which ensures a research framework appropriate to Master’s level.</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for the acquisition of inter-personal skills necessary to practise autonomously in unfamiliar and challenging situations within the profession.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the opportunity for a student to graduate with a comprehensive portfolio demonstrating innovative and original work which questions established practices through research and experimentation and the development of high levels of technical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encourage the development of mature understanding; of innovative approaches to, and applications of, research in the creation of contemporary fine art.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provide for the progressive acquisition of in-depth knowledge, skills and technologies necessary to successfully develop a student’s fine art practice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students with the opportunity to engage with respected practitioners in all areas of contemporary fine art and particularly with those working within their own specialist subject.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enable the development of a forward-looking portfolio and body of practical work that demonstrates exceptional levels of ambition and creativity.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enable students to experience current professional practice including the development of team-working and establish their own practices.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advanced knowledge of Contemporary Fine Art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sustained, in-depth research and critical analysis and the application and integration of theoretical studies throughout the process of making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 substantial and confident body of work to a high professional standard illustrating both an in-depth application and understanding of their specialism with an advanced level of individual responsibility for creative, technical and organisational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 constructively self-critical approach to their work shown through responses to modules dealing with both the practical and theoretical.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appropriate level of individual creativity, vision, personal expression and intellectual ability in the chosen specialism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and integrate numerous creative platforms in the making of meaningful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relationship between theory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ability to undertake, at the appropriate level, independent and sustained research, analysis and creative evaluation of history, theory and/or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Respond individually and confidently to the demands of making work, showing the creative and organisational skills necessary to realise a viable solution.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in-depth understanding of new methods, materials, processes and technologies appropriate to contemporary fine art, fostering an ability to use a flexible, forward looking approach to problem solving, and a thorough understanding of the uses of appropriate visual aesthetics in the successful communication of ideas and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advanced critical knowledge of the contemporary contexts of fine art in evaluating their own and others’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Display confidence in the communication of ideas effectively through a high level of visual, written and oral presentation, showing a comprehensive application of creative and analytical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 learning mode and leads to the award of MFA Fine Art and is available as a full-field. Entry is normally at Level 7 with prior qualifications as above (See section D). Transfer from a similar course is possible at Level 7 with passes in comparable Level 7 modules – but is at the discretion of the course team. 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E1.</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Professional and 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E2.</w:t>
      </w: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Work-based learning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placements are actively encouraged – although it is the responsibility of individual students to source and secure such placements.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Students will be introduced to resources such </w:t>
      </w:r>
      <w:r w:rsidRPr="2030048C">
        <w:rPr>
          <w:rFonts w:ascii="Arial" w:eastAsia="Arial" w:hAnsi="Arial" w:cs="Arial"/>
          <w:color w:val="000000" w:themeColor="text1" w:themeShade="FF" w:themeTint="FF"/>
          <w:sz w:val="24"/>
          <w:szCs w:val="24"/>
        </w:rPr>
        <w:t xml:space="preserve">as </w:t>
      </w:r>
      <w:r w:rsidRPr="2030048C">
        <w:rPr>
          <w:rFonts w:ascii="Arial" w:eastAsia="Arial" w:hAnsi="Arial" w:cs="Arial"/>
          <w:color w:val="000000" w:themeColor="text1" w:themeShade="FF" w:themeTint="FF"/>
          <w:sz w:val="24"/>
          <w:szCs w:val="24"/>
        </w:rPr>
        <w:t>the University Careers and Employability Service</w:t>
      </w:r>
      <w:r w:rsidRPr="2030048C">
        <w:rPr>
          <w:rFonts w:ascii="Arial" w:eastAsia="Arial" w:hAnsi="Arial" w:cs="Arial"/>
          <w:color w:val="000000" w:themeColor="text1" w:themeShade="FF" w:themeTint="FF"/>
          <w:sz w:val="24"/>
          <w:szCs w:val="24"/>
        </w:rPr>
        <w:t xml:space="preserve"> to help support their enquiries into work-based learning and encouraged by staff to access appropriate online resources. Work-based learning may be evidenced in students final Contextual Document (FA7116) or in Extended Research and Professional Skills module (FA7112)</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Personal tutors and the course leader will provide support for students wishing to pursue work placement or internship opportunities. While these are not formally assessed, staff can provide advice and information as part </w:t>
      </w:r>
      <w:r w:rsidRPr="2030048C">
        <w:rPr>
          <w:rFonts w:ascii="Arial" w:eastAsia="Arial" w:hAnsi="Arial" w:cs="Arial"/>
          <w:color w:val="000000" w:themeColor="text1" w:themeShade="FF" w:themeTint="FF"/>
          <w:sz w:val="24"/>
          <w:szCs w:val="24"/>
        </w:rPr>
        <w:t>of students' career development and agree the appropriate length and timing of any such opportunity with individual students.</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bl>
      <w:tblPr>
        <w:tblStyle w:val="MsoTableGrid0"/>
        <w:tblCellSpacing w:w="15" w:type="dxa"/>
        <w:tblCellMar>
          <w:top w:w="15" w:type="dxa"/>
          <w:left w:w="15" w:type="dxa"/>
          <w:bottom w:w="15" w:type="dxa"/>
          <w:right w:w="15" w:type="dxa"/>
        </w:tblCellMar>
        <w:tblLook w:val="05E0"/>
      </w:tblPr>
      <w:tblGrid>
        <w:gridCol w:w="2137"/>
        <w:gridCol w:w="2308"/>
        <w:gridCol w:w="1881"/>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TB1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TB2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TB3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(60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Practice and Critique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(60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Extended Research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and Professional Skills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A</w:t>
            </w:r>
            <w:r w:rsidRPr="2030048C">
              <w:rPr>
                <w:rFonts w:ascii="Arial" w:eastAsia="Arial" w:hAnsi="Arial" w:cs="Arial"/>
                <w:color w:val="000000"/>
                <w:sz w:val="22"/>
                <w:szCs w:val="22"/>
              </w:rPr>
              <w:t>dvanced Practice</w:t>
            </w:r>
          </w:p>
        </w:tc>
      </w:tr>
    </w:tbl>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sz w:val="24"/>
          <w:szCs w:val="24"/>
        </w:rPr>
        <w:t xml:space="preserve">Year 2 </w:t>
      </w:r>
    </w:p>
    <w:tbl>
      <w:tblPr>
        <w:tblStyle w:val="MsoTableGrid0"/>
        <w:tblCellSpacing w:w="15" w:type="dxa"/>
        <w:tblCellMar>
          <w:top w:w="15" w:type="dxa"/>
          <w:left w:w="15" w:type="dxa"/>
          <w:bottom w:w="15" w:type="dxa"/>
          <w:right w:w="15" w:type="dxa"/>
        </w:tblCellMar>
        <w:tblLook w:val="05E0"/>
      </w:tblPr>
      <w:tblGrid>
        <w:gridCol w:w="1929"/>
        <w:gridCol w:w="3185"/>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TB1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TB2 and TB3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(60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Advanced Practice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(60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Exhibition and Dissemination</w:t>
            </w:r>
            <w:r w:rsidRPr="2030048C">
              <w:rPr>
                <w:rFonts w:ascii="Arial" w:eastAsia="Arial" w:hAnsi="Arial" w:cs="Arial"/>
                <w:color w:val="000000" w:themeColor="text1" w:themeShade="FF" w:themeTint="FF"/>
                <w:sz w:val="24"/>
                <w:szCs w:val="24"/>
              </w:rPr>
              <w:t xml:space="preserve"> </w:t>
            </w:r>
          </w:p>
        </w:tc>
      </w:tr>
    </w:tbl>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MFA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Fine Art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MFA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Fine Art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FA7115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 on year 1 and TB1 on year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Exhibition &amp; Dissemination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FA7116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 and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Extended Research and Professional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FA7112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Practice and Critique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FA7110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right="-165"/>
        <w:jc w:val="both"/>
        <w:rPr>
          <w:rFonts w:ascii="Arial" w:eastAsia="Arial" w:hAnsi="Arial" w:cs="Arial"/>
          <w:sz w:val="24"/>
          <w:szCs w:val="24"/>
        </w:rPr>
      </w:pPr>
      <w:r w:rsidRPr="2030048C">
        <w:rPr>
          <w:rFonts w:ascii="Arial" w:eastAsia="Arial" w:hAnsi="Arial" w:cs="Arial"/>
          <w:sz w:val="22"/>
          <w:szCs w:val="22"/>
        </w:rPr>
        <w:t xml:space="preserve">The learning and teaching strategies across the MFA Fine Art course have been designed to recognise and take account of the different ways students learn, and, as they progress through the programme, give students the opportunity to take more responsibility for their own learning. The MFA course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the collaborative aspects of the modules and peer learning.  </w:t>
      </w:r>
    </w:p>
    <w:p w:rsidRPr="2030048C" w:rsidP="2030048C">
      <w:pPr>
        <w:ind w:right="-165"/>
        <w:jc w:val="both"/>
        <w:rPr>
          <w:rFonts w:ascii="Arial" w:eastAsia="Arial" w:hAnsi="Arial" w:cs="Arial"/>
          <w:sz w:val="24"/>
          <w:szCs w:val="24"/>
        </w:rPr>
      </w:pPr>
      <w:r w:rsidRPr="2030048C">
        <w:rPr>
          <w:rFonts w:ascii="Arial" w:eastAsia="Arial" w:hAnsi="Arial" w:cs="Arial"/>
          <w:sz w:val="22"/>
          <w:szCs w:val="22"/>
        </w:rPr>
        <w:t>The course employs a range of approaches to teaching and learning, with all students undertaking online and on-site induction workshops and attending meetings with core teaching staff during Welcome Week. A combination of online and on-site lectures, seminars, group critiques and individual tutorials, study visits, presentations, workshops and final exhibition / exposition assessments support the development of practical and theoretical work. The course builds on the ethos of student self-management and peer learning, creating a learning atmosphere that may shift from year to year organically, and where critical dialogue is seen as the core creative and intellectual engine for the production of work. This makes for a distinctively shared learning experience, which encourages collaborative and group activity alongside individual research, and the consideration of new platforms for the production and dissemination of work.</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ind w:right="-165"/>
        <w:jc w:val="both"/>
        <w:rPr>
          <w:rFonts w:ascii="Arial" w:eastAsia="Arial" w:hAnsi="Arial" w:cs="Arial"/>
          <w:sz w:val="24"/>
          <w:szCs w:val="24"/>
        </w:rPr>
      </w:pPr>
      <w:r w:rsidRPr="2030048C">
        <w:rPr>
          <w:rFonts w:ascii="Arial" w:eastAsia="Arial" w:hAnsi="Arial" w:cs="Arial"/>
          <w:sz w:val="22"/>
          <w:szCs w:val="22"/>
        </w:rPr>
        <w:t>All modules provide formative feedback and ‘feed forward’ opportunities for practice in the form of presentation, exhibition, publication, and formal discussion designed to help students reach their full potential in summative assessment. Each module is designed to interact with the next in a logical progression and students are encouraged to progress work and core conceptual concerns as they move from one module to the next.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ind w:right="-165"/>
        <w:jc w:val="both"/>
        <w:rPr>
          <w:rFonts w:ascii="Arial" w:eastAsia="Arial" w:hAnsi="Arial" w:cs="Arial"/>
          <w:sz w:val="24"/>
          <w:szCs w:val="24"/>
        </w:rPr>
      </w:pPr>
      <w:r w:rsidRPr="2030048C">
        <w:rPr>
          <w:rFonts w:ascii="Arial" w:eastAsia="Arial" w:hAnsi="Arial" w:cs="Arial"/>
          <w:sz w:val="22"/>
          <w:szCs w:val="22"/>
        </w:rPr>
        <w:t>The overall assessment requirements are consistent with the specification on assessment loading. There are clear connections and accumulative aspects to each module culminating in the ‘capstone’ Exhibition &amp; Dissemination module. Through the specific modules, the curriculum offers opportunities to develop and demonstrate independent learning and thought in the form of presentation, contextual reports and documentation, exhibition, publication (digital and print) and event. These opportunities are enabled through a combination of tutorials, seminars, lectures, workshops and peer learning. Summative assessment</w:t>
      </w:r>
      <w:r w:rsidRPr="2030048C">
        <w:rPr>
          <w:rFonts w:ascii="Arial" w:eastAsia="Arial" w:hAnsi="Arial" w:cs="Arial"/>
          <w:sz w:val="22"/>
          <w:szCs w:val="22"/>
        </w:rPr>
        <w:t xml:space="preserve"> feedback is delivered in an individual tutorial and accompanied with feedback sheets providing commentary on how well the assessment met the marking criterion and offering comprehensive feed forward. Support is available to all students through their allocated personal tutor and drop-in appointments with the Course Leader. Regular studio meetings provide a further formal conduit for effective communication with all students.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ind w:right="-165"/>
        <w:jc w:val="both"/>
        <w:rPr>
          <w:rFonts w:ascii="Arial" w:eastAsia="Arial" w:hAnsi="Arial" w:cs="Arial"/>
          <w:sz w:val="24"/>
          <w:szCs w:val="24"/>
        </w:rPr>
      </w:pPr>
      <w:r w:rsidRPr="2030048C">
        <w:rPr>
          <w:rFonts w:ascii="Arial" w:eastAsia="Arial" w:hAnsi="Arial" w:cs="Arial"/>
          <w:sz w:val="22"/>
          <w:szCs w:val="22"/>
        </w:rPr>
        <w:t xml:space="preserve">Through each module, the students are expected to present ongoing research that evidences developing contextual awareness and connect their own work to current contemporary strategies in the fine art field. The curriculum is delivered by academics who are also fine art practitioners and their professional experience and position feeds directly into the student experience developed with the module structure. Visiting speakers are programmed internally across the Department and students benefit from occasional Stanley Picker public lectures programmed by the Department. The students may take advantage of internships offered within the University at the Stanley Picker Gallery or Dorich House and attend the Fine Art Department Lecture Series. Modules aim to equip students with discipline specific and broader skills necessary to their future ambitions such as presentation and effective communication skills, project management, digital skills and working in the public realm.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ind w:right="-165"/>
        <w:jc w:val="both"/>
        <w:rPr>
          <w:rFonts w:ascii="Arial" w:eastAsia="Arial" w:hAnsi="Arial" w:cs="Arial"/>
          <w:sz w:val="24"/>
          <w:szCs w:val="24"/>
        </w:rPr>
      </w:pPr>
      <w:r w:rsidRPr="2030048C">
        <w:rPr>
          <w:rFonts w:ascii="Arial" w:eastAsia="Arial" w:hAnsi="Arial" w:cs="Arial"/>
          <w:sz w:val="22"/>
          <w:szCs w:val="22"/>
        </w:rPr>
        <w:t xml:space="preserve">The Virtual Learning Environment (VLE) site (Canvas), acts as the main online location and portal for course and School information and news. Course materials such as handbooks, module guides, timetables and information on talks programmes, lectures and events are all accessible through Canvas.  Students benefit from further online and real-world access to the wider School and Faculty community through resources such as Printmaking, Photography, 3D workshops, as well as all the other Fine Art Department programmes.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ind w:right="-165"/>
        <w:jc w:val="both"/>
        <w:rPr>
          <w:rFonts w:ascii="Arial" w:eastAsia="Arial" w:hAnsi="Arial" w:cs="Arial"/>
          <w:sz w:val="24"/>
          <w:szCs w:val="24"/>
        </w:rPr>
      </w:pPr>
      <w:r w:rsidRPr="2030048C">
        <w:rPr>
          <w:rFonts w:ascii="Arial" w:eastAsia="Arial" w:hAnsi="Arial" w:cs="Arial"/>
          <w:sz w:val="22"/>
          <w:szCs w:val="22"/>
        </w:rPr>
        <w:t xml:space="preserve">All courses based in the Kingston School of Art offer students free access to the online video tutorial platform LinkedIn Learning.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ind w:left="360"/>
        <w:jc w:val="both"/>
        <w:rPr>
          <w:rFonts w:ascii="Arial" w:eastAsia="Arial" w:hAnsi="Arial" w:cs="Arial"/>
          <w:sz w:val="24"/>
          <w:szCs w:val="24"/>
        </w:rPr>
      </w:pPr>
      <w:r w:rsidRPr="2030048C">
        <w:rPr>
          <w:rFonts w:ascii="Arial" w:eastAsia="Arial" w:hAnsi="Arial" w:cs="Arial"/>
          <w:sz w:val="24"/>
          <w:szCs w:val="24"/>
        </w:rPr>
        <w:t> </w:t>
      </w:r>
    </w:p>
    <w:p w:rsidRPr="2030048C" w:rsidP="2030048C">
      <w:pPr>
        <w:ind w:right="-165"/>
        <w:jc w:val="both"/>
        <w:rPr>
          <w:rFonts w:ascii="Arial" w:eastAsia="Arial" w:hAnsi="Arial" w:cs="Arial"/>
          <w:sz w:val="24"/>
          <w:szCs w:val="24"/>
        </w:rPr>
      </w:pPr>
      <w:r w:rsidRPr="2030048C">
        <w:rPr>
          <w:rFonts w:ascii="Arial" w:eastAsia="Arial" w:hAnsi="Arial" w:cs="Arial"/>
          <w:sz w:val="22"/>
          <w:szCs w:val="22"/>
        </w:rPr>
        <w:t xml:space="preserve">The Department of Fine Art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current students and give them confidence to apply and provide a greater understanding of the aims and objectives of the course.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by: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2"/>
          <w:szCs w:val="22"/>
          <w:lang w:val="en-US" w:eastAsia="en-US"/>
        </w:rPr>
        <w:t>A Course Leader to help students understand the programme structure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2"/>
          <w:szCs w:val="22"/>
          <w:lang w:val="en-US" w:eastAsia="en-US"/>
        </w:rPr>
        <w:t>A Module Leader for each module who coordinates the teaching and learning activities and can advise students on any specific questions related to the learning and assessment for the module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color w:val="000000"/>
          <w:sz w:val="22"/>
          <w:szCs w:val="22"/>
          <w:lang w:val="en-US" w:eastAsia="en-US"/>
        </w:rPr>
        <w:t xml:space="preserve">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 The personal tutor will help each student to </w:t>
      </w:r>
      <w:r w:rsidRPr="2030048C">
        <w:rPr>
          <w:rFonts w:ascii="Arial" w:eastAsia="Arial" w:hAnsi="Arial" w:cs="Arial"/>
          <w:color w:val="000000"/>
          <w:sz w:val="22"/>
          <w:szCs w:val="22"/>
        </w:rPr>
        <w:t>make the transition to Masters level study and understand how to use feedback on the postgraduate course, and to gain confidence in contributing to, and learning from, constructive peer review. They will encourage students to be proactive in making links between their course and their professional and/or academic or research aspirations, encouraging them to become part of a wider disciplinary and/or professional community, including helping students to prepare for the dynamics of supervision.</w:t>
      </w:r>
    </w:p>
    <w:p w:rsidRPr="2030048C" w:rsidP="2030048C">
      <w:pPr>
        <w:ind w:left="705"/>
        <w:jc w:val="both"/>
        <w:rPr>
          <w:rFonts w:ascii="Arial" w:eastAsia="Arial" w:hAnsi="Arial" w:cs="Arial"/>
          <w:sz w:val="24"/>
          <w:szCs w:val="24"/>
        </w:rPr>
      </w:pPr>
      <w:r w:rsidRPr="2030048C">
        <w:rPr>
          <w:rFonts w:ascii="Arial" w:eastAsia="Arial" w:hAnsi="Arial" w:cs="Arial"/>
          <w:sz w:val="24"/>
          <w:szCs w:val="24"/>
        </w:rPr>
        <w:t> </w:t>
      </w:r>
    </w:p>
    <w:p w:rsidRPr="2030048C" w:rsidP="2030048C">
      <w:pPr>
        <w:ind w:left="705" w:right="-165"/>
        <w:jc w:val="both"/>
        <w:rPr>
          <w:rFonts w:ascii="Arial" w:eastAsia="Arial" w:hAnsi="Arial" w:cs="Arial"/>
          <w:sz w:val="24"/>
          <w:szCs w:val="24"/>
        </w:rPr>
      </w:pPr>
      <w:r w:rsidRPr="2030048C">
        <w:rPr>
          <w:rFonts w:ascii="Arial" w:eastAsia="Arial" w:hAnsi="Arial" w:cs="Arial"/>
          <w:color w:val="000000"/>
          <w:sz w:val="22"/>
          <w:szCs w:val="22"/>
        </w:rPr>
        <w:t>Meetings will be scheduled as appropriate to the delivery pattern of the course.</w:t>
      </w:r>
    </w:p>
    <w:p w:rsidRPr="2030048C" w:rsidP="2030048C">
      <w:pPr>
        <w:ind w:left="705" w:right="-165"/>
        <w:jc w:val="both"/>
        <w:rPr>
          <w:rFonts w:ascii="Arial" w:eastAsia="Arial" w:hAnsi="Arial" w:cs="Arial"/>
          <w:sz w:val="24"/>
          <w:szCs w:val="24"/>
        </w:rPr>
      </w:pPr>
      <w:r w:rsidRPr="2030048C">
        <w:rPr>
          <w:rFonts w:ascii="Arial" w:eastAsia="Arial" w:hAnsi="Arial" w:cs="Arial"/>
          <w:color w:val="000000"/>
          <w:sz w:val="22"/>
          <w:szCs w:val="22"/>
        </w:rPr>
        <w:t>Personal tutors will also act as the default referee for their tutees, (although students may ask other members of staff).</w:t>
      </w:r>
    </w:p>
    <w:p w:rsidRPr="2030048C" w:rsidP="2030048C">
      <w:pPr>
        <w:ind w:left="705" w:right="-165"/>
        <w:jc w:val="both"/>
        <w:rPr>
          <w:rFonts w:ascii="Arial" w:eastAsia="Arial" w:hAnsi="Arial" w:cs="Arial"/>
          <w:sz w:val="24"/>
          <w:szCs w:val="24"/>
        </w:rPr>
      </w:pPr>
      <w:r w:rsidRPr="2030048C">
        <w:rPr>
          <w:rFonts w:ascii="Arial" w:eastAsia="Arial" w:hAnsi="Arial" w:cs="Arial"/>
          <w:sz w:val="22"/>
          <w:szCs w:val="22"/>
        </w:rPr>
        <w:t> </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rPr>
        <w:t>A Student Achievement Officer who provides pastoral support</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rPr>
        <w:t>Technical support to advise on the use of hardware and software and the construction of artworks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color w:val="000000"/>
          <w:sz w:val="22"/>
          <w:szCs w:val="22"/>
          <w:lang w:val="en-US" w:eastAsia="en-US"/>
        </w:rPr>
        <w:t>A designated programme administrator</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color w:val="000000"/>
          <w:sz w:val="22"/>
          <w:szCs w:val="22"/>
          <w:lang w:val="en-US" w:eastAsia="en-US"/>
        </w:rPr>
        <w:t>An induction week at the beginning of each new academic session</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color w:val="000000"/>
          <w:sz w:val="22"/>
          <w:szCs w:val="22"/>
          <w:lang w:val="en-US" w:eastAsia="en-US"/>
        </w:rPr>
        <w:t>Staff-Student Consultative Committee</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rPr>
        <w:t>VLE/Canvas – a versatile online interactive intranet and learning environment accessible both on and off-site</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rPr>
        <w:t>LinkedIn Learning – an online platform offering self-paced software tutorials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color w:val="000000"/>
          <w:sz w:val="22"/>
          <w:szCs w:val="22"/>
          <w:lang w:val="en-US" w:eastAsia="en-US"/>
        </w:rPr>
        <w:t>Academic Skills – an Academic Success Centre that provides academic skills support, academic skills support for UG and PG students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color w:val="000000"/>
          <w:sz w:val="22"/>
          <w:szCs w:val="22"/>
          <w:lang w:val="en-US" w:eastAsia="en-US"/>
        </w:rPr>
        <w:t xml:space="preserve">Student support facilities that provide advice on issues such as finance, regulations, legal matters, accommodation, travel, international student support, well-being, mental health, faith and spirituality etc. All these and more can be accessed through the </w:t>
      </w:r>
      <w:r w:rsidRPr="2030048C">
        <w:rPr>
          <w:rFonts w:ascii="Arial" w:eastAsia="Arial" w:hAnsi="Arial" w:cs="Arial"/>
          <w:i/>
          <w:iCs/>
          <w:color w:val="000000"/>
          <w:sz w:val="22"/>
          <w:szCs w:val="22"/>
          <w:lang w:val="en-US" w:eastAsia="en-US"/>
        </w:rPr>
        <w:t xml:space="preserve">My Kingston </w:t>
      </w:r>
      <w:r w:rsidRPr="2030048C">
        <w:rPr>
          <w:rFonts w:ascii="Arial" w:eastAsia="Arial" w:hAnsi="Arial" w:cs="Arial"/>
          <w:color w:val="000000"/>
          <w:sz w:val="22"/>
          <w:szCs w:val="22"/>
          <w:lang w:val="en-US" w:eastAsia="en-US"/>
        </w:rPr>
        <w:t>portal and the KU App.</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color w:val="000000"/>
          <w:sz w:val="22"/>
          <w:szCs w:val="22"/>
          <w:lang w:val="en-US" w:eastAsia="en-US"/>
        </w:rPr>
        <w:t>Disabled student support</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lang w:val="en-US" w:eastAsia="en-US"/>
        </w:rPr>
        <w:t>University Careers and Employability Services</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color w:val="000000"/>
          <w:sz w:val="22"/>
          <w:szCs w:val="22"/>
          <w:lang w:val="en-US" w:eastAsia="en-US"/>
        </w:rPr>
        <w:t>The Union of Kingston Students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FA7110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FA7112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FA7115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FA7116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table" w:customStyle="1" w:styleId="MsoTableGrid0">
    <w:name w:val="MsoTableGrid0"/>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3167A27-C451-4057-AD95-1CFB67D7328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