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MA</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Urban Design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30/04/2013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15/05/2025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8</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Arts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Architecture and Landscape</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 London</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Urban Design</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in Urban Design</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PGDip in Urban Design</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PPURD1URD20</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PFURD1URD20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 London</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Department of Architecture &amp; Landscape, School of Art and Architecture, Kingston School of Art, Knights Park</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bCs/>
                <w:color w:val="000000"/>
                <w:sz w:val="22"/>
                <w:szCs w:val="22"/>
                <w:shd w:val="clear" w:color="auto" w:fill="FFFFFF"/>
              </w:rPr>
              <w:t xml:space="preserve"> </w:t>
            </w:r>
            <w:r w:rsidRPr="2030048C">
              <w:rPr>
                <w:rStyle w:val="normaltextrun"/>
                <w:rFonts w:ascii="Arial" w:eastAsia="Arial" w:hAnsi="Arial" w:cs="Arial"/>
                <w:b/>
                <w:bCs/>
                <w:color w:val="000000"/>
                <w:sz w:val="22"/>
                <w:szCs w:val="22"/>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r w:rsidRPr="158602C4">
              <w:rPr>
                <w:rStyle w:val="normaltextrun"/>
                <w:rFonts w:ascii="Arial" w:eastAsia="Arial" w:hAnsi="Arial" w:cs="Arial"/>
                <w:b w:val="0"/>
                <w:bCs w:val="0"/>
                <w:color w:val="000000" w:themeColor="text1" w:themeShade="FF" w:themeTint="FF"/>
                <w:sz w:val="24"/>
                <w:szCs w:val="24"/>
              </w:rPr>
              <w:t>Credit from the PG Diploma in Landscape Architecture can be counted towards the award of the MA in Landscape &amp; Urbanism.</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The MA Urban Design aims to develop knowledge, skills, understanding and creativity at postgraduate level (L7) for research and practice in the synthetic field of Urban Design. Specifically, the course aims to: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develop literacy, knowledge, critical thinking, and design skills, relevant for the interdisciplinary practice of urban design, with a strong focus on environmental and ecological considerations.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develop a foundation for communication and collaboration with other professions and disciplines engaged in the co-production of the city.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engage students in strategic and design proposals and their evaluation through group and/or individual work.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explore, evaluate and advocate scenarios and key determining factors and priorities for effective urban design, including regeneration and new development briefs.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support students in the development of a personal portfolio for their individual career ambitions in the field of urban design.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support the development of an Urban Design Masters Project (‘capstone ‘ project) which takes a design or research question to an appropriate  level of resolution, expansion or conclusion and critique, developing individual experience and ambition, and engaging in its effective presentation and dissemination.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make explicit the relationship between theory, practice and design critique.</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develop skills for intelligent and distinctive place–making, and the effective design of urban and landscape infrastructures.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prepare MA graduates for practice and/or research career paths.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Deliver a cogent Urban Design Masters Project which takes a design project or research question to a critical level of resolution.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Present appropriate and critical, primary and secondary research in support of the Urban Design Masters Project.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a high level of skill in primary and secondary research; particularly in relation to project briefings, site appraisal and appropriate data gathering and mapping.</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aesthetic, ethical and programmatic discrimination in the choice of materials, strategies, processes and their application, appropriate to MA Urban Design and preparation for reflective interdisciplinary practice and research engagement.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Communicate critical evaluation and proposition, in interdisciplinary teams and working individually.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Present evidence of developing practice skills appropriate for landscape &amp; urban design which are likely to include: specification for water management, habitat creation, ground  modelling at  macro and micro scales; material and time management components.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Deliver and communicate evidence of in-depth knowledge and critique of theoretical positions, seminal texts and precedent relevant to significant contemporary Urban Design projects and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Deliver critical thinking and its application in relation to theory and ethical, inclusive, sustainable practice of Urban Design.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self-confidence, skill and creativity, in presenting their work and ideas alongside those of others.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Present an individual portfolio of projects and written material which will support and focus individual and professional career –practice and research ambitions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critical thinking in the development of a personal portfolio, and design agenda.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Deliver evidence of new practical and practice skills beyond those attained in earlier practice and education-appropriate to the evolving field of Urban Design.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professional skills (including self-presentation, communication, interpersonal/teamwork, research and information literacy, numeracy, time-management and project-planning, management and leadership skills, and ethical practice).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 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The programme is made up of four modules each worth 30 credits and one module worth 60 credits at Level 7, and is delivered over 1 year full-time or 2 years part-time.   All students will be provided with the University’ Postgraduate Regulations (PR) and may have specific additions that are sometimes required for accreditation by outside bodies.  Students will also receive the Course Handbook. Full details of each module will be provided in module descriptors and student module guides.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MA</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Urban Design</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MA</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Urban Design</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Master’s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LD7105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Urban Design Project Portfolio 01</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LD7109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Urban Design Project Portfolio 02</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LD7108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Urban Design Theory, Research and Representation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LD7106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Urban Design: Professional Practice, Process &amp; Making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LD7107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b/>
          <w:bCs/>
          <w:sz w:val="24"/>
          <w:szCs w:val="24"/>
        </w:rPr>
        <w:t> </w:t>
      </w:r>
      <w:r w:rsidRPr="2030048C">
        <w:rPr>
          <w:rFonts w:ascii="Arial" w:eastAsia="Arial" w:hAnsi="Arial" w:cs="Arial"/>
          <w:sz w:val="24"/>
          <w:szCs w:val="24"/>
        </w:rPr>
        <w:t>The curriculum is designed to provide:</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 xml:space="preserve">a dynamic and stimulating interdisciplinary experience, in which emerging and established theory and practice underpin Urban Design learning;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 xml:space="preserve">motivation and support to encourage students (individually and in groups) to develop distinctive project portfolios, effective practice reports, design development and communication, with clearly expressed and applied research;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grounding and support for a critical and creative Masters Project agenda and delivery, driven by the current context of study and student ambition.</w:t>
      </w:r>
    </w:p>
    <w:p w:rsidRPr="2030048C" w:rsidP="2030048C">
      <w:pPr>
        <w:pStyle w:val="ListParagraph0"/>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ListParagraph0"/>
        <w:jc w:val="both"/>
        <w:rPr>
          <w:rFonts w:ascii="Arial" w:eastAsia="Arial" w:hAnsi="Arial" w:cs="Arial"/>
          <w:sz w:val="24"/>
          <w:szCs w:val="24"/>
        </w:rPr>
      </w:pPr>
      <w:r w:rsidRPr="2030048C">
        <w:rPr>
          <w:rFonts w:ascii="Arial" w:eastAsia="Arial" w:hAnsi="Arial" w:cs="Arial"/>
          <w:sz w:val="24"/>
          <w:szCs w:val="24"/>
        </w:rPr>
        <w:t>Crits and seminars involve practitioners, some of whom are   KSA   alumni.</w:t>
      </w:r>
    </w:p>
    <w:p w:rsidRPr="2030048C" w:rsidP="2030048C">
      <w:pPr>
        <w:pStyle w:val="ListParagraph0"/>
        <w:jc w:val="both"/>
        <w:rPr>
          <w:rFonts w:ascii="Arial" w:eastAsia="Arial" w:hAnsi="Arial" w:cs="Arial"/>
          <w:sz w:val="24"/>
          <w:szCs w:val="24"/>
        </w:rPr>
      </w:pPr>
      <w:r w:rsidRPr="2030048C">
        <w:rPr>
          <w:rFonts w:ascii="Arial" w:eastAsia="Arial" w:hAnsi="Arial" w:cs="Arial"/>
          <w:sz w:val="24"/>
          <w:szCs w:val="24"/>
        </w:rPr>
        <w:t>Technology enhanced learning is embedded in the programme in particular in relation to group working and knowledge sharing, and current industry standard practice and relevant software (such as Building Information Modelling)  is presented and supported by group working and alumni presentations.</w:t>
      </w:r>
    </w:p>
    <w:p w:rsidRPr="2030048C" w:rsidP="2030048C">
      <w:pPr>
        <w:pStyle w:val="ListParagraph0"/>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 xml:space="preserve">The pedagogic principles: </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 xml:space="preserve">to bring together contemporary content and connections in the field of Urban Design in the context of the School’s postgraduate community; </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 xml:space="preserve">to include varied delivery and interaction between students and tutors, with clear critique and assessment, individual and team work, self and peer review and feedback and feed forward guidance for improved results;    </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 xml:space="preserve">to identify opportunities to work with targeted competitions, clients, alumni, at different scales and levels of experience from the individual, to the community, and to the city as a whole; </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develop student knowledge and experience, career ambitions and diverse demands of contemporary creative practice;</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optimise creative and focused use of school-wide and departmental resources: research expertise, studios, workshops, library and local community resources.</w:t>
      </w:r>
    </w:p>
    <w:p w:rsidRPr="2030048C" w:rsidP="2030048C">
      <w:pPr>
        <w:pStyle w:val="ListParagraph0"/>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ListParagraph0"/>
        <w:jc w:val="both"/>
        <w:rPr>
          <w:rFonts w:ascii="Arial" w:eastAsia="Arial" w:hAnsi="Arial" w:cs="Arial"/>
          <w:sz w:val="24"/>
          <w:szCs w:val="24"/>
        </w:rPr>
      </w:pPr>
      <w:r w:rsidRPr="2030048C">
        <w:rPr>
          <w:rFonts w:ascii="Arial" w:eastAsia="Arial" w:hAnsi="Arial" w:cs="Arial"/>
          <w:sz w:val="24"/>
          <w:szCs w:val="24"/>
        </w:rPr>
        <w:t>Teaching is practice-and-research-led and brings together MA Urban Design with  MA Landscape Architecture students in a shared interdisciplinary studio experience, with the intention to increase interdisciplinarity and to extend the global reach in the context of local and UK-specific professional experience for students across both programmes.  </w:t>
      </w:r>
    </w:p>
    <w:p w:rsidRPr="2030048C" w:rsidP="2030048C">
      <w:pPr>
        <w:pStyle w:val="ListParagraph0"/>
        <w:jc w:val="both"/>
        <w:rPr>
          <w:rFonts w:ascii="Arial" w:eastAsia="Arial" w:hAnsi="Arial" w:cs="Arial"/>
          <w:sz w:val="24"/>
          <w:szCs w:val="24"/>
        </w:rPr>
      </w:pPr>
      <w:r w:rsidRPr="2030048C">
        <w:rPr>
          <w:rFonts w:ascii="Arial" w:eastAsia="Arial" w:hAnsi="Arial" w:cs="Arial"/>
          <w:sz w:val="24"/>
          <w:szCs w:val="24"/>
        </w:rPr>
        <w:t>The School uses the virtual learning environment (Canvas/VLE), which acts as the main online location and portal for course and School information and news. Course materials such as handbooks, module guides, timetables and information on talks programmes, lectures and events are all accessible through the VLE.</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LinkedIn Learning: all courses based in the Kingston School of Art offer students free access to the online video tutorial platform LinkedIn Learning.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8"/>
        </w:numPr>
        <w:ind w:left="720" w:hanging="360"/>
        <w:jc w:val="both"/>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4"/>
        <w:gridCol w:w="367"/>
        <w:gridCol w:w="915"/>
        <w:gridCol w:w="915"/>
        <w:gridCol w:w="915"/>
        <w:gridCol w:w="915"/>
        <w:gridCol w:w="91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LD7105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LD7106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LD7108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LD7109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LD7107</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13E2B1A1-1BFB-478E-9C89-0F83CC2F3ECD}"/>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