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Product &amp; Furniture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11/01/2024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Design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3D Design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Product &amp; Furniture Design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Certificate</w:t>
            </w:r>
            <w:r>
              <w:br/>
            </w:r>
          </w:p>
          <w:p w:rsidR="72431AC7" w:rsidP="01DA1EA0" w14:paraId="59ABF227" w14:textId="338D9999">
            <w:r w:rsidRPr="01DA1EA0">
              <w:rPr>
                <w:rFonts w:ascii="Arial" w:hAnsi="Arial" w:cs="Arial"/>
                <w:sz w:val="22"/>
                <w:szCs w:val="22"/>
              </w:rPr>
              <w:t>Postgraduate Diploma</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PPPFD1PFD01</w:t>
            </w:r>
          </w:p>
          <w:p w:rsidR="72431AC7" w:rsidP="01DA1EA0" w14:paraId="6CCD9CAD" w14:textId="7FB53094">
            <w:r w:rsidRPr="01DA1EA0">
              <w:rPr>
                <w:rFonts w:ascii="Arial" w:hAnsi="Arial" w:cs="Arial"/>
                <w:sz w:val="22"/>
                <w:szCs w:val="22"/>
              </w:rPr>
              <w:t>PFPFD1PFD01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Product &amp; Furniture Design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br/>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r w:rsidRPr="01DA1EA0">
              <w:rPr>
                <w:rFonts w:ascii="Arial" w:hAnsi="Arial" w:cs="Arial"/>
                <w:sz w:val="22"/>
                <w:szCs w:val="22"/>
              </w:rPr>
              <w:t>NA</w:t>
            </w:r>
          </w:p>
          <w:p w:rsidR="72431AC7" w:rsidP="01DA1EA0" w14:textId="7FB53094">
            <w:r w:rsidRPr="01DA1EA0">
              <w:rPr>
                <w:rFonts w:ascii="Arial" w:hAnsi="Arial" w:cs="Arial"/>
                <w:sz w:val="22"/>
                <w:szCs w:val="22"/>
              </w:rPr>
              <w:t>PFPFD1PFD99</w:t>
            </w:r>
          </w:p>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 of Arts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3D Design,The Design School, 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pStyle w:val="NoSpacing"/>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 A good BA (Hons) degree or equivalent qualification in 3D design or a related subject, including interior design, architecture, product and furniture design, industrial design, graphic design, photography, fashion, </w:t>
            </w:r>
            <w:r>
              <w:rPr>
                <w:rStyle w:val="normaltextrun"/>
                <w:rFonts w:ascii="Arial" w:hAnsi="Arial" w:cs="Arial"/>
                <w:color w:val="000000"/>
                <w:sz w:val="22"/>
                <w:szCs w:val="22"/>
                <w:shd w:val="clear" w:color="auto" w:fill="FFFFFF"/>
              </w:rPr>
              <w:t>engineering</w:t>
            </w:r>
            <w:r>
              <w:rPr>
                <w:rStyle w:val="normaltextrun"/>
                <w:rFonts w:ascii="Arial" w:hAnsi="Arial" w:cs="Arial"/>
                <w:color w:val="000000"/>
                <w:sz w:val="22"/>
                <w:szCs w:val="22"/>
                <w:shd w:val="clear" w:color="auto" w:fill="FFFFFF"/>
              </w:rPr>
              <w:t xml:space="preserve"> or fine art.</w:t>
            </w:r>
            <w:r>
              <w:rPr>
                <w:rStyle w:val="normaltextrun"/>
                <w:rFonts w:ascii="Arial" w:hAnsi="Arial" w:cs="Arial"/>
                <w:i/>
                <w:iCs/>
                <w:color w:val="000000"/>
                <w:sz w:val="22"/>
                <w:szCs w:val="22"/>
                <w:shd w:val="clear" w:color="auto" w:fill="FFFFFF"/>
              </w:rPr>
              <w:t xml:space="preserve"> </w:t>
            </w:r>
            <w:r>
              <w:rPr>
                <w:rStyle w:val="normaltextrun"/>
                <w:rFonts w:ascii="Arial" w:hAnsi="Arial" w:cs="Arial"/>
                <w:color w:val="000000"/>
                <w:sz w:val="22"/>
                <w:szCs w:val="22"/>
                <w:shd w:val="clear" w:color="auto" w:fill="FFFFFF"/>
              </w:rPr>
              <w:t>A portfolio demonstrating an appropriate 3D engagement is required.</w:t>
            </w:r>
          </w:p>
          <w:p w:rsidP="0BF386EB">
            <w:pPr>
              <w:pStyle w:val="NoSpacing"/>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pStyle w:val="NoSpacing"/>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Applicants with relevant experience but not necessarily the qualifications or disciplinary background identified above, and who demonstrate the necessary skills and intellectual achievement needed to undertake the course will also be considered.</w:t>
            </w:r>
          </w:p>
          <w:p w:rsidP="0BF386EB">
            <w:pPr>
              <w:pStyle w:val="NoSpacing"/>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A minimum IELTS score of 6.5, TOEFL 88 or equivalent is required for those for whom English is not their first language.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Applicants from one of the </w:t>
            </w:r>
            <w:r>
              <w:rPr>
                <w:rStyle w:val="normaltextrun"/>
                <w:rFonts w:ascii="Arial" w:hAnsi="Arial" w:cs="Arial"/>
                <w:color w:val="000000"/>
                <w:sz w:val="22"/>
                <w:szCs w:val="22"/>
                <w:shd w:val="clear" w:color="auto" w:fill="FFFFFF"/>
              </w:rPr>
              <w:t>recognised</w:t>
            </w:r>
            <w:r>
              <w:rPr>
                <w:rStyle w:val="normaltextrun"/>
                <w:rFonts w:ascii="Arial" w:hAnsi="Arial" w:cs="Arial"/>
                <w:color w:val="000000"/>
                <w:sz w:val="22"/>
                <w:szCs w:val="22"/>
                <w:shd w:val="clear" w:color="auto" w:fill="FFFFFF"/>
              </w:rPr>
              <w:t xml:space="preserve"> </w:t>
            </w:r>
            <w:hyperlink r:id="rId9" w:anchor="mesc" w:history="1">
              <w:r>
                <w:rPr>
                  <w:rStyle w:val="normaltextrun"/>
                  <w:rFonts w:ascii="Arial" w:hAnsi="Arial" w:cs="Arial"/>
                  <w:color w:val="000000"/>
                  <w:sz w:val="22"/>
                  <w:szCs w:val="22"/>
                  <w:shd w:val="clear" w:color="auto" w:fill="FFFFFF"/>
                </w:rPr>
                <w:t>Majority English Speaking Countries (MESCs)</w:t>
              </w:r>
            </w:hyperlink>
            <w:r>
              <w:rPr>
                <w:rStyle w:val="normaltextrun"/>
                <w:rFonts w:ascii="Arial" w:hAnsi="Arial" w:cs="Arial"/>
                <w:color w:val="000000"/>
                <w:sz w:val="22"/>
                <w:szCs w:val="22"/>
                <w:shd w:val="clear" w:color="auto" w:fill="FFFFFF"/>
              </w:rPr>
              <w:t xml:space="preserve"> do not need to meet these requirements.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Recognition of Prior L</w:t>
            </w:r>
            <w:r>
              <w:rPr>
                <w:rStyle w:val="normaltextrun"/>
                <w:rFonts w:ascii="Arial" w:hAnsi="Arial" w:cs="Arial"/>
                <w:color w:val="000000"/>
                <w:sz w:val="22"/>
                <w:szCs w:val="22"/>
                <w:shd w:val="clear" w:color="auto" w:fill="FFFFFF"/>
              </w:rPr>
              <w:t>earning:</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applicants with prior qualifications and learning may be exempt from appropriate parts of a course in accordance with the University's policy for the </w:t>
            </w:r>
            <w:r>
              <w:rPr>
                <w:rStyle w:val="normaltextrun"/>
                <w:rFonts w:ascii="Arial" w:hAnsi="Arial" w:cs="Arial"/>
                <w:color w:val="000000"/>
                <w:sz w:val="22"/>
                <w:szCs w:val="22"/>
                <w:shd w:val="clear" w:color="auto" w:fill="FFFFFF"/>
              </w:rPr>
              <w:t>recognition</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of prior </w:t>
            </w:r>
            <w:r>
              <w:rPr>
                <w:rStyle w:val="normaltextrun"/>
                <w:rFonts w:ascii="Arial" w:hAnsi="Arial" w:cs="Arial"/>
                <w:color w:val="000000"/>
                <w:sz w:val="22"/>
                <w:szCs w:val="22"/>
                <w:shd w:val="clear" w:color="auto" w:fill="FFFFFF"/>
              </w:rPr>
              <w:t xml:space="preserve">certificated </w:t>
            </w:r>
            <w:r>
              <w:rPr>
                <w:rStyle w:val="normaltextrun"/>
                <w:rFonts w:ascii="Arial" w:hAnsi="Arial" w:cs="Arial"/>
                <w:color w:val="000000"/>
                <w:sz w:val="22"/>
                <w:szCs w:val="22"/>
                <w:shd w:val="clear" w:color="auto" w:fill="FFFFFF"/>
              </w:rPr>
              <w:t xml:space="preserve">learning </w:t>
            </w:r>
            <w:r>
              <w:rPr>
                <w:rStyle w:val="normaltextrun"/>
                <w:rFonts w:ascii="Arial" w:hAnsi="Arial" w:cs="Arial"/>
                <w:color w:val="000000"/>
                <w:sz w:val="22"/>
                <w:szCs w:val="22"/>
                <w:shd w:val="clear" w:color="auto" w:fill="FFFFFF"/>
              </w:rPr>
              <w:t>(R</w:t>
            </w:r>
            <w:r>
              <w:rPr>
                <w:rStyle w:val="normaltextrun"/>
                <w:rFonts w:ascii="Arial" w:hAnsi="Arial" w:cs="Arial"/>
                <w:color w:val="000000"/>
                <w:sz w:val="22"/>
                <w:szCs w:val="22"/>
                <w:shd w:val="clear" w:color="auto" w:fill="FFFFFF"/>
              </w:rPr>
              <w:t xml:space="preserve">PCL) </w:t>
            </w:r>
            <w:r>
              <w:rPr>
                <w:rStyle w:val="normaltextrun"/>
                <w:rFonts w:ascii="Arial" w:hAnsi="Arial" w:cs="Arial"/>
                <w:color w:val="000000"/>
                <w:sz w:val="22"/>
                <w:szCs w:val="22"/>
                <w:shd w:val="clear" w:color="auto" w:fill="FFFFFF"/>
              </w:rPr>
              <w:t>and prior experiential learning</w:t>
            </w:r>
            <w:r>
              <w:rPr>
                <w:rStyle w:val="normaltextrun"/>
                <w:rFonts w:ascii="Arial" w:hAnsi="Arial" w:cs="Arial"/>
                <w:color w:val="000000"/>
                <w:sz w:val="22"/>
                <w:szCs w:val="22"/>
                <w:shd w:val="clear" w:color="auto" w:fill="FFFFFF"/>
              </w:rPr>
              <w:t xml:space="preserve"> (R</w:t>
            </w:r>
            <w:r>
              <w:rPr>
                <w:rStyle w:val="normaltextrun"/>
                <w:rFonts w:ascii="Arial" w:hAnsi="Arial" w:cs="Arial"/>
                <w:color w:val="000000"/>
                <w:sz w:val="22"/>
                <w:szCs w:val="22"/>
                <w:shd w:val="clear" w:color="auto" w:fill="FFFFFF"/>
              </w:rPr>
              <w:t>PEL)</w:t>
            </w:r>
            <w:r>
              <w:rPr>
                <w:rStyle w:val="normaltextrun"/>
                <w:rFonts w:ascii="Arial" w:hAnsi="Arial" w:cs="Arial"/>
                <w:color w:val="000000"/>
                <w:sz w:val="22"/>
                <w:szCs w:val="22"/>
                <w:shd w:val="clear" w:color="auto" w:fill="FFFFFF"/>
              </w:rPr>
              <w:t>.</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jc w:val="both"/>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r>
              <w:rPr>
                <w:rStyle w:val="normaltextrun"/>
                <w:rFonts w:ascii="Arial" w:hAnsi="Arial" w:cs="Arial"/>
                <w:color w:val="000000"/>
                <w:sz w:val="22"/>
                <w:szCs w:val="22"/>
                <w:shd w:val="clear" w:color="auto" w:fill="FFFFFF"/>
              </w:rPr>
              <w:t>None</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ColorfulList-Accent11"/>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 of the course</w:t>
      </w:r>
      <w:r w:rsidRPr="007C4290">
        <w:rPr>
          <w:rStyle w:val="normaltextrun"/>
          <w:rFonts w:ascii="Arial" w:hAnsi="Arial" w:cs="Arial"/>
          <w:color w:val="000000" w:themeColor="text1"/>
          <w:shd w:val="clear" w:color="auto" w:fill="FFFFFF"/>
        </w:rPr>
        <w:t xml:space="preserve"> are to:</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a framework for academic and personal development that enhances students’ abilities in critical reflection, allowing them to speculate on new and effective approaches to the subject and to engage with problems and insights at the forefront of the </w:t>
      </w:r>
      <w:r w:rsidRPr="007C4290">
        <w:rPr>
          <w:rStyle w:val="normaltextrun"/>
          <w:rFonts w:ascii="Arial" w:hAnsi="Arial" w:cs="Arial"/>
          <w:color w:val="000000" w:themeColor="text1"/>
          <w:shd w:val="clear" w:color="auto" w:fill="FFFFFF"/>
        </w:rPr>
        <w:t>discipline</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w:t>
      </w:r>
      <w:r w:rsidRPr="007C4290">
        <w:rPr>
          <w:rStyle w:val="normaltextrun"/>
          <w:rFonts w:ascii="Arial" w:hAnsi="Arial" w:cs="Arial"/>
          <w:color w:val="000000" w:themeColor="text1"/>
          <w:shd w:val="clear" w:color="auto" w:fill="FFFFFF"/>
        </w:rPr>
        <w:t>design</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Equip students with the knowledge, </w:t>
      </w:r>
      <w:r w:rsidRPr="007C4290">
        <w:rPr>
          <w:rStyle w:val="normaltextrun"/>
          <w:rFonts w:ascii="Arial" w:hAnsi="Arial" w:cs="Arial"/>
          <w:color w:val="000000" w:themeColor="text1"/>
          <w:shd w:val="clear" w:color="auto" w:fill="FFFFFF"/>
        </w:rPr>
        <w:t>abilities</w:t>
      </w:r>
      <w:r w:rsidRPr="007C4290">
        <w:rPr>
          <w:rStyle w:val="normaltextrun"/>
          <w:rFonts w:ascii="Arial" w:hAnsi="Arial" w:cs="Arial"/>
          <w:color w:val="000000" w:themeColor="text1"/>
          <w:shd w:val="clear" w:color="auto" w:fill="FFFFFF"/>
        </w:rPr>
        <w:t xml:space="preserve"> and methods – creative, conceptual, theoretical, analytical, technical and organisational – that enable them to propose, research, develop and complete a self-directed project that reflects originality, critical analysis, evaluation, and academic rigour.</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2-</w:t>
      </w:r>
      <w:r w:rsidRPr="007C4290">
        <w:rPr>
          <w:rStyle w:val="normaltextrun"/>
          <w:rFonts w:ascii="Arial" w:hAnsi="Arial" w:cs="Arial"/>
          <w:color w:val="000000" w:themeColor="text1"/>
          <w:shd w:val="clear" w:color="auto" w:fill="FFFFFF"/>
        </w:rPr>
        <w:t xml:space="preserve">year programme with integrated placement(s) also provides students with an opportunity to enhance their professional skills, preparing them for higher levels of employment, further </w:t>
      </w:r>
      <w:r w:rsidRPr="007C4290">
        <w:rPr>
          <w:rStyle w:val="normaltextrun"/>
          <w:rFonts w:ascii="Arial" w:hAnsi="Arial" w:cs="Arial"/>
          <w:color w:val="000000" w:themeColor="text1"/>
          <w:shd w:val="clear" w:color="auto" w:fill="FFFFFF"/>
        </w:rPr>
        <w:t>study</w:t>
      </w:r>
      <w:r w:rsidRPr="007C4290">
        <w:rPr>
          <w:rStyle w:val="normaltextrun"/>
          <w:rFonts w:ascii="Arial" w:hAnsi="Arial" w:cs="Arial"/>
          <w:color w:val="000000" w:themeColor="text1"/>
          <w:shd w:val="clear" w:color="auto" w:fill="FFFFFF"/>
        </w:rPr>
        <w:t xml:space="preserve"> and lifelong learning</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2-</w:t>
      </w:r>
      <w:r w:rsidRPr="007C4290">
        <w:rPr>
          <w:rStyle w:val="normaltextrun"/>
          <w:rFonts w:ascii="Arial" w:hAnsi="Arial" w:cs="Arial"/>
          <w:color w:val="000000" w:themeColor="text1"/>
          <w:shd w:val="clear" w:color="auto" w:fill="FFFFFF"/>
        </w:rPr>
        <w:t xml:space="preserve">year programme with integrated placement(s) also provides students with an opportunity to enhance their professional skills, preparing them for higher levels of employment, further </w:t>
      </w:r>
      <w:r w:rsidRPr="007C4290">
        <w:rPr>
          <w:rStyle w:val="normaltextrun"/>
          <w:rFonts w:ascii="Arial" w:hAnsi="Arial" w:cs="Arial"/>
          <w:color w:val="000000" w:themeColor="text1"/>
          <w:shd w:val="clear" w:color="auto" w:fill="FFFFFF"/>
        </w:rPr>
        <w:t>study</w:t>
      </w:r>
      <w:r w:rsidRPr="007C4290">
        <w:rPr>
          <w:rStyle w:val="normaltextrun"/>
          <w:rFonts w:ascii="Arial" w:hAnsi="Arial" w:cs="Arial"/>
          <w:color w:val="000000" w:themeColor="text1"/>
          <w:shd w:val="clear" w:color="auto" w:fill="FFFFFF"/>
        </w:rPr>
        <w:t xml:space="preserve"> and lifelong learning</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UK</w:t>
      </w:r>
      <w:r w:rsidRPr="007C4290">
        <w:rPr>
          <w:rStyle w:val="normaltextrun"/>
          <w:rFonts w:ascii="Arial" w:hAnsi="Arial" w:cs="Arial"/>
          <w:color w:val="000000" w:themeColor="text1"/>
          <w:sz w:val="22"/>
          <w:szCs w:val="22"/>
          <w:shd w:val="clear" w:color="auto" w:fill="FFFFFF"/>
        </w:rPr>
        <w:t xml:space="preserve"> Quality Code</w:t>
      </w:r>
      <w:r w:rsidRPr="007C4290">
        <w:rPr>
          <w:rStyle w:val="normaltextrun"/>
          <w:rFonts w:ascii="Arial" w:hAnsi="Arial" w:cs="Arial"/>
          <w:color w:val="000000" w:themeColor="text1"/>
          <w:sz w:val="22"/>
          <w:szCs w:val="22"/>
          <w:shd w:val="clear" w:color="auto" w:fill="FFFFFF"/>
        </w:rPr>
        <w:t xml:space="preserve"> for Higher Education</w:t>
      </w:r>
      <w:r w:rsidRPr="007C4290">
        <w:rPr>
          <w:rStyle w:val="normaltextrun"/>
          <w:rFonts w:ascii="Arial" w:hAnsi="Arial" w:cs="Arial"/>
          <w:color w:val="000000" w:themeColor="text1"/>
          <w:sz w:val="22"/>
          <w:szCs w:val="22"/>
          <w:shd w:val="clear" w:color="auto" w:fill="FFFFFF"/>
        </w:rPr>
        <w:t>, including</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w:t>
      </w:r>
      <w:r w:rsidRPr="007C4290">
        <w:rPr>
          <w:rStyle w:val="normaltextrun"/>
          <w:rFonts w:ascii="Arial" w:hAnsi="Arial" w:cs="Arial"/>
          <w:color w:val="000000" w:themeColor="text1"/>
          <w:sz w:val="22"/>
          <w:szCs w:val="22"/>
          <w:shd w:val="clear" w:color="auto" w:fill="FFFFFF"/>
        </w:rPr>
        <w:t>QAA Mast</w:t>
      </w:r>
      <w:r w:rsidRPr="007C4290">
        <w:rPr>
          <w:rStyle w:val="normaltextrun"/>
          <w:rFonts w:ascii="Arial" w:hAnsi="Arial" w:cs="Arial"/>
          <w:color w:val="000000" w:themeColor="text1"/>
          <w:sz w:val="22"/>
          <w:szCs w:val="22"/>
          <w:shd w:val="clear" w:color="auto" w:fill="FFFFFF"/>
        </w:rPr>
        <w:t>er’s Degree Characteristics 20</w:t>
      </w:r>
      <w:r w:rsidRPr="007C4290">
        <w:rPr>
          <w:rStyle w:val="normaltextrun"/>
          <w:rFonts w:ascii="Arial" w:hAnsi="Arial" w:cs="Arial"/>
          <w:color w:val="000000" w:themeColor="text1"/>
          <w:sz w:val="22"/>
          <w:szCs w:val="22"/>
          <w:shd w:val="clear" w:color="auto" w:fill="FFFFFF"/>
        </w:rPr>
        <w:t>20</w:t>
      </w:r>
      <w:r w:rsidRPr="007C4290">
        <w:rPr>
          <w:rStyle w:val="normaltextrun"/>
          <w:rFonts w:ascii="Arial" w:hAnsi="Arial" w:cs="Arial"/>
          <w:color w:val="000000" w:themeColor="text1"/>
          <w:sz w:val="22"/>
          <w:szCs w:val="22"/>
          <w:shd w:val="clear" w:color="auto" w:fill="FFFFFF"/>
        </w:rPr>
        <w:t xml:space="preserve"> and the </w:t>
      </w:r>
      <w:r w:rsidRPr="007C4290">
        <w:rPr>
          <w:rStyle w:val="normaltextrun"/>
          <w:rFonts w:ascii="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 awareness of</w:t>
      </w:r>
      <w:r w:rsidRPr="007C4290">
        <w:rPr>
          <w:rStyle w:val="normaltextrun"/>
          <w:rFonts w:ascii="Arial" w:hAnsi="Arial" w:cs="Arial"/>
          <w:color w:val="000000" w:themeColor="text1"/>
          <w:sz w:val="22"/>
          <w:szCs w:val="22"/>
          <w:shd w:val="clear" w:color="auto" w:fill="FFFFFF"/>
        </w:rPr>
        <w:t xml:space="preserve"> the undergraduate subject benchmarks for Art and Design,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w:t>
      </w:r>
      <w:r w:rsidRPr="007C4290">
        <w:rPr>
          <w:rStyle w:val="normaltextrun"/>
          <w:rFonts w:ascii="Arial" w:hAnsi="Arial" w:cs="Arial"/>
          <w:color w:val="000000" w:themeColor="text1"/>
          <w:sz w:val="22"/>
          <w:szCs w:val="22"/>
          <w:shd w:val="clear" w:color="auto" w:fill="FFFFFF"/>
        </w:rPr>
        <w: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Articulate the practices and ideas - methods, materials, processes and technologies - appropriate to design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Express individual creativity, vision and intellect within their discipline specialism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Liaise with external bodies to inform specialist pursuit.</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Reflect critically upon their work.</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Conduct advanced research demonstrating critical analysis and judgement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Communicate ideas through the appropriate level of visual, three dimensional, written and oral presentation skills to a design critical audience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Appraise critically both traditional and current approaches to product and furniture design and the understanding of the relationship between theory and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Synthesise design theory and practice appropriately within the design process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Practice diverse methodology, method, process, material and technology investigations appropriate to the exploration of relevant design issues.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Engage with design process and problem solving in both disciplinary and interdisciplinary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Evaluate own and others’ work applying advanced critical knowledge of contemporary design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Utilise specialist practical workshop resources to inform process.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as a full field</w:t>
      </w:r>
      <w:r w:rsidRPr="66934EB1">
        <w:rPr>
          <w:rFonts w:ascii="Arial" w:eastAsia="Arial" w:hAnsi="Arial" w:cs="Arial"/>
          <w:color w:val="000000" w:themeColor="text1"/>
          <w:sz w:val="22"/>
          <w:szCs w:val="22"/>
        </w:rPr>
        <w:t xml:space="preserve"> in full-time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part-time</w:t>
      </w:r>
      <w:r w:rsidRPr="66934EB1">
        <w:rPr>
          <w:rFonts w:ascii="Arial" w:eastAsia="Arial" w:hAnsi="Arial" w:cs="Arial"/>
          <w:color w:val="000000" w:themeColor="text1"/>
          <w:sz w:val="22"/>
          <w:szCs w:val="22"/>
        </w:rPr>
        <w:t xml:space="preserve"> and ‘with professional placement’ modes</w:t>
      </w:r>
      <w:r w:rsidRPr="66934EB1">
        <w:rPr>
          <w:rFonts w:ascii="Arial" w:eastAsia="Arial" w:hAnsi="Arial" w:cs="Arial"/>
          <w:color w:val="000000" w:themeColor="text1"/>
          <w:sz w:val="22"/>
          <w:szCs w:val="22"/>
        </w:rPr>
        <w:t xml:space="preserve">, and leads to the award of the </w:t>
      </w:r>
      <w:r w:rsidRPr="66934EB1">
        <w:rPr>
          <w:rFonts w:ascii="Arial" w:eastAsia="Arial" w:hAnsi="Arial" w:cs="Arial"/>
          <w:color w:val="000000" w:themeColor="text1"/>
          <w:sz w:val="22"/>
          <w:szCs w:val="22"/>
        </w:rPr>
        <w:t xml:space="preserve">MA </w:t>
      </w:r>
      <w:r w:rsidRPr="66934EB1">
        <w:rPr>
          <w:rFonts w:ascii="Arial" w:eastAsia="Arial" w:hAnsi="Arial" w:cs="Arial"/>
          <w:color w:val="000000" w:themeColor="text1"/>
          <w:sz w:val="22"/>
          <w:szCs w:val="22"/>
        </w:rPr>
        <w:t>Product &amp; Furniture Design</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Entry is at level 7 with Degree or equivalent qualifications (See section D). </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xml:space="preserve">Intake </w:t>
      </w:r>
      <w:r w:rsidRPr="66934EB1">
        <w:rPr>
          <w:rFonts w:ascii="Arial" w:eastAsia="Arial" w:hAnsi="Arial" w:cs="Arial"/>
          <w:color w:val="000000" w:themeColor="text1"/>
          <w:sz w:val="22"/>
          <w:szCs w:val="22"/>
        </w:rPr>
        <w:t>is normally in September</w:t>
      </w:r>
      <w:r w:rsidRPr="66934EB1">
        <w:rPr>
          <w:rFonts w:ascii="Arial" w:eastAsia="Arial" w:hAnsi="Arial" w:cs="Arial"/>
          <w:color w:val="000000" w:themeColor="text1"/>
          <w:sz w:val="22"/>
          <w:szCs w:val="22"/>
        </w:rPr>
        <w:t xml:space="preserve"> of each year.</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NoSpacing"/>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course is part of the University’s Postgraduate </w:t>
      </w:r>
      <w:r w:rsidRPr="66934EB1">
        <w:rPr>
          <w:rFonts w:ascii="Arial" w:eastAsia="Arial" w:hAnsi="Arial" w:cs="Arial"/>
          <w:color w:val="000000" w:themeColor="text1"/>
          <w:sz w:val="22"/>
          <w:szCs w:val="22"/>
        </w:rPr>
        <w:t>Regulations</w:t>
      </w:r>
      <w:r w:rsidRPr="66934EB1">
        <w:rPr>
          <w:rFonts w:ascii="Arial" w:eastAsia="Arial" w:hAnsi="Arial" w:cs="Arial"/>
          <w:color w:val="000000" w:themeColor="text1"/>
          <w:sz w:val="22"/>
          <w:szCs w:val="22"/>
        </w:rPr>
        <w:t xml:space="preserve"> (P</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and The Design School Postgraduate Framework. </w:t>
      </w:r>
    </w:p>
    <w:p w:rsidRPr="66934EB1" w:rsidP="66934EB1">
      <w:pPr>
        <w:pStyle w:val="NoSpacing"/>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NoSpacing"/>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MA </w:t>
      </w:r>
      <w:r w:rsidRPr="66934EB1">
        <w:rPr>
          <w:rFonts w:ascii="Arial" w:eastAsia="Arial" w:hAnsi="Arial" w:cs="Arial"/>
          <w:color w:val="000000" w:themeColor="text1"/>
          <w:sz w:val="22"/>
          <w:szCs w:val="22"/>
        </w:rPr>
        <w:t>Product &amp; Furniture Design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is made up of five modules that are assigned to three phases referred to as Teaching Blocks (TB) all at Level 7. Phases are progressively more challenging as </w:t>
      </w:r>
      <w:r w:rsidRPr="66934EB1">
        <w:rPr>
          <w:rFonts w:ascii="Arial" w:eastAsia="Arial" w:hAnsi="Arial" w:cs="Arial"/>
          <w:color w:val="000000" w:themeColor="text1"/>
          <w:sz w:val="22"/>
          <w:szCs w:val="22"/>
        </w:rPr>
        <w:t>students</w:t>
      </w:r>
      <w:r w:rsidRPr="66934EB1">
        <w:rPr>
          <w:rFonts w:ascii="Arial" w:eastAsia="Arial" w:hAnsi="Arial" w:cs="Arial"/>
          <w:color w:val="000000" w:themeColor="text1"/>
          <w:sz w:val="22"/>
          <w:szCs w:val="22"/>
        </w:rPr>
        <w:t xml:space="preserve"> progress through the field. Each Teaching Block is normally made up of 2 modules each worth 30 credits </w:t>
      </w:r>
      <w:r w:rsidRPr="66934EB1">
        <w:rPr>
          <w:rFonts w:ascii="Arial" w:eastAsia="Arial" w:hAnsi="Arial" w:cs="Arial"/>
          <w:color w:val="000000" w:themeColor="text1"/>
          <w:sz w:val="22"/>
          <w:szCs w:val="22"/>
        </w:rPr>
        <w:t>with the excep</w:t>
      </w:r>
      <w:r w:rsidRPr="66934EB1">
        <w:rPr>
          <w:rFonts w:ascii="Arial" w:eastAsia="Arial" w:hAnsi="Arial" w:cs="Arial"/>
          <w:color w:val="000000" w:themeColor="text1"/>
          <w:sz w:val="22"/>
          <w:szCs w:val="22"/>
        </w:rPr>
        <w:t>tion of</w:t>
      </w:r>
      <w:r w:rsidRPr="66934EB1">
        <w:rPr>
          <w:rFonts w:ascii="Arial" w:eastAsia="Arial" w:hAnsi="Arial" w:cs="Arial"/>
          <w:color w:val="000000" w:themeColor="text1"/>
          <w:sz w:val="22"/>
          <w:szCs w:val="22"/>
        </w:rPr>
        <w:t xml:space="preserve"> the Major Project in TB</w:t>
      </w:r>
      <w:r w:rsidRPr="66934EB1">
        <w:rPr>
          <w:rFonts w:ascii="Arial" w:eastAsia="Arial" w:hAnsi="Arial" w:cs="Arial"/>
          <w:color w:val="000000" w:themeColor="text1"/>
          <w:sz w:val="22"/>
          <w:szCs w:val="22"/>
        </w:rPr>
        <w:t>3, which is worth 60 credits. Typically, full-time students should complete 60 credits at the end of each</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TB.</w:t>
      </w:r>
      <w:r w:rsidRPr="66934EB1">
        <w:rPr>
          <w:rFonts w:ascii="Arial" w:eastAsia="Arial" w:hAnsi="Arial" w:cs="Arial"/>
          <w:color w:val="000000" w:themeColor="text1"/>
          <w:sz w:val="22"/>
          <w:szCs w:val="22"/>
        </w:rPr>
        <w:t xml:space="preserve"> The course is delivered full-time over one year,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 xml:space="preserve"> part-time over two years. </w:t>
      </w:r>
      <w:r w:rsidRPr="66934EB1">
        <w:rPr>
          <w:rFonts w:ascii="Arial" w:eastAsia="Arial" w:hAnsi="Arial" w:cs="Arial"/>
          <w:color w:val="000000" w:themeColor="text1"/>
          <w:sz w:val="22"/>
          <w:szCs w:val="22"/>
        </w:rPr>
        <w:t xml:space="preserve">All students will be provided with the University regulations </w:t>
      </w:r>
      <w:r w:rsidRPr="66934EB1">
        <w:rPr>
          <w:rFonts w:ascii="Arial" w:eastAsia="Arial" w:hAnsi="Arial" w:cs="Arial"/>
          <w:color w:val="000000" w:themeColor="text1"/>
          <w:sz w:val="22"/>
          <w:szCs w:val="22"/>
        </w:rPr>
        <w:t xml:space="preserve">and </w:t>
      </w:r>
      <w:r w:rsidRPr="66934EB1">
        <w:rPr>
          <w:rFonts w:ascii="Arial" w:eastAsia="Arial" w:hAnsi="Arial" w:cs="Arial"/>
          <w:color w:val="000000" w:themeColor="text1"/>
          <w:sz w:val="22"/>
          <w:szCs w:val="22"/>
        </w:rPr>
        <w:t xml:space="preserve">the course handbook.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w:t>
      </w:r>
      <w:r w:rsidRPr="66934EB1">
        <w:rPr>
          <w:rFonts w:ascii="Arial" w:eastAsia="Arial" w:hAnsi="Arial" w:cs="Arial"/>
          <w:color w:val="000000" w:themeColor="text1"/>
          <w:sz w:val="22"/>
          <w:szCs w:val="22"/>
        </w:rPr>
        <w:t xml:space="preserve">year programme (with integrated placement) must complete all modules </w:t>
      </w:r>
      <w:r w:rsidRPr="66934EB1">
        <w:rPr>
          <w:rFonts w:ascii="Arial" w:eastAsia="Arial" w:hAnsi="Arial" w:cs="Arial"/>
          <w:color w:val="000000" w:themeColor="text1"/>
          <w:sz w:val="22"/>
          <w:szCs w:val="22"/>
        </w:rPr>
        <w:t>by the end of TB3</w:t>
      </w:r>
      <w:r w:rsidRPr="66934EB1">
        <w:rPr>
          <w:rFonts w:ascii="Arial" w:eastAsia="Arial" w:hAnsi="Arial" w:cs="Arial"/>
          <w:color w:val="000000" w:themeColor="text1"/>
          <w:sz w:val="22"/>
          <w:szCs w:val="22"/>
        </w:rPr>
        <w:t>, and then work in their placement(s) for a maximum of 12 months.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The student should confirm that their placement opportunity is available by </w:t>
      </w:r>
      <w:r w:rsidRPr="66934EB1">
        <w:rPr>
          <w:rFonts w:ascii="Arial" w:eastAsia="Arial" w:hAnsi="Arial" w:cs="Arial"/>
          <w:color w:val="000000" w:themeColor="text1"/>
          <w:sz w:val="22"/>
          <w:szCs w:val="22"/>
        </w:rPr>
        <w:t>the preceding teaching block</w:t>
      </w:r>
      <w:r w:rsidRPr="66934EB1">
        <w:rPr>
          <w:rFonts w:ascii="Arial" w:eastAsia="Arial" w:hAnsi="Arial" w:cs="Arial"/>
          <w:color w:val="000000" w:themeColor="text1"/>
          <w:sz w:val="22"/>
          <w:szCs w:val="22"/>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Product &amp; Furniture Design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Product &amp; Furniture Design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Creative Futures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DE7301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Critical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DE7603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 Thinking &amp; Making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DE7602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Designing Research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(Design)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 TB2, TB3 (Yr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xml:space="preserve">Students exiting the programme with 60 credits are eligible for the award of PG </w:t>
      </w:r>
      <w:r w:rsidRPr="66934EB1">
        <w:rPr>
          <w:rStyle w:val="normaltextrun"/>
          <w:rFonts w:ascii="Arial" w:eastAsia="Arial" w:hAnsi="Arial" w:cs="Arial"/>
          <w:color w:val="000000" w:themeColor="text1"/>
          <w:sz w:val="20"/>
          <w:szCs w:val="20"/>
        </w:rPr>
        <w:t>Cert</w:t>
      </w:r>
      <w:r w:rsidRPr="66934EB1">
        <w:rPr>
          <w:rStyle w:val="normaltextrun"/>
          <w:rFonts w:ascii="Arial" w:eastAsia="Arial" w:hAnsi="Arial" w:cs="Arial"/>
          <w:color w:val="000000" w:themeColor="text1"/>
          <w:sz w:val="20"/>
          <w:szCs w:val="20"/>
        </w:rPr>
        <w:t>.</w:t>
      </w:r>
      <w:r w:rsidRPr="66934EB1">
        <w:rPr>
          <w:rStyle w:val="normaltextrun"/>
          <w:rFonts w:ascii="Arial" w:eastAsia="Arial" w:hAnsi="Arial" w:cs="Arial"/>
          <w:color w:val="000000" w:themeColor="text1"/>
          <w:sz w:val="20"/>
          <w:szCs w:val="20"/>
        </w:rPr>
        <w:t xml:space="preserve"> in </w:t>
      </w:r>
      <w:r w:rsidRPr="66934EB1">
        <w:rPr>
          <w:rStyle w:val="normaltextrun"/>
          <w:rFonts w:ascii="Arial" w:eastAsia="Arial" w:hAnsi="Arial" w:cs="Arial"/>
          <w:color w:val="000000" w:themeColor="text1"/>
          <w:sz w:val="20"/>
          <w:szCs w:val="20"/>
        </w:rPr>
        <w:t>Product &amp; Furniture Design</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120 credits are eligible for the award of PG Dip</w:t>
      </w:r>
      <w:r w:rsidRPr="66934EB1">
        <w:rPr>
          <w:rStyle w:val="normaltextrun"/>
          <w:rFonts w:ascii="Arial" w:eastAsia="Arial" w:hAnsi="Arial" w:cs="Arial"/>
          <w:color w:val="000000" w:themeColor="text1"/>
          <w:sz w:val="20"/>
          <w:szCs w:val="20"/>
        </w:rPr>
        <w:t>.</w:t>
      </w:r>
      <w:r w:rsidRPr="66934EB1">
        <w:rPr>
          <w:rStyle w:val="normaltextrun"/>
          <w:rFonts w:ascii="Arial" w:eastAsia="Arial" w:hAnsi="Arial" w:cs="Arial"/>
          <w:color w:val="000000" w:themeColor="text1"/>
          <w:sz w:val="20"/>
          <w:szCs w:val="20"/>
        </w:rPr>
        <w:t xml:space="preserve"> in </w:t>
      </w:r>
      <w:r w:rsidRPr="66934EB1">
        <w:rPr>
          <w:rStyle w:val="normaltextrun"/>
          <w:rFonts w:ascii="Arial" w:eastAsia="Arial" w:hAnsi="Arial" w:cs="Arial"/>
          <w:color w:val="000000" w:themeColor="text1"/>
          <w:sz w:val="20"/>
          <w:szCs w:val="20"/>
        </w:rPr>
        <w:t>Product &amp; Furniture Design</w:t>
      </w:r>
      <w:r w:rsidRPr="66934EB1">
        <w:rPr>
          <w:rStyle w:val="normaltextrun"/>
          <w:rFonts w:ascii="Arial" w:eastAsia="Arial" w:hAnsi="Arial" w:cs="Arial"/>
          <w:color w:val="000000" w:themeColor="text1"/>
          <w:sz w:val="20"/>
          <w:szCs w:val="20"/>
        </w:rPr>
        <w:t>.</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Product &amp; Furniture Design With Professional Placement</w:t>
      </w:r>
    </w:p>
    <w:p w:rsidR="008B5CAF" w:rsidRPr="008B5CAF" w:rsidP="008B5CAF"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The Design school promotes and sustains a distinctive pattern of teaching and learning practices. Teaching and learning strategies have developed in close relation to the design subjects, disciplines</w:t>
      </w:r>
      <w:r w:rsidRPr="503DC450">
        <w:rPr>
          <w:rFonts w:ascii="Arial" w:hAnsi="Arial" w:cs="Arial"/>
          <w:sz w:val="22"/>
          <w:szCs w:val="22"/>
        </w:rPr>
        <w:t xml:space="preserve"> and the creative industries.</w:t>
      </w:r>
      <w:r w:rsidRPr="503DC450">
        <w:rPr>
          <w:rFonts w:ascii="Arial" w:hAnsi="Arial" w:cs="Arial"/>
          <w:sz w:val="22"/>
          <w:szCs w:val="22"/>
        </w:rPr>
        <w:t xml:space="preserve">  </w:t>
      </w:r>
      <w:r w:rsidRPr="503DC450">
        <w:rPr>
          <w:rFonts w:ascii="Arial" w:hAnsi="Arial" w:cs="Arial"/>
          <w:sz w:val="22"/>
          <w:szCs w:val="22"/>
        </w:rPr>
        <w:t>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Pr="503DC450" w:rsidP="007D20BC">
      <w:pPr>
        <w:pStyle w:val="Body"/>
        <w:jc w:val="both"/>
        <w:rPr>
          <w:rFonts w:ascii="Arial" w:hAnsi="Arial" w:cs="Arial"/>
          <w:sz w:val="22"/>
          <w:szCs w:val="22"/>
        </w:rPr>
      </w:pPr>
      <w:r w:rsidRPr="503DC450">
        <w:rPr>
          <w:rFonts w:ascii="Arial" w:hAnsi="Arial" w:cs="Arial"/>
          <w:i/>
          <w:iCs/>
          <w:sz w:val="22"/>
          <w:szCs w:val="22"/>
        </w:rPr>
        <w:t> </w:t>
      </w:r>
    </w:p>
    <w:p w:rsidRPr="503DC450" w:rsidP="007D20BC">
      <w:pPr>
        <w:pStyle w:val="Body"/>
        <w:jc w:val="both"/>
        <w:rPr>
          <w:rFonts w:ascii="Arial" w:hAnsi="Arial" w:cs="Arial"/>
          <w:sz w:val="22"/>
          <w:szCs w:val="22"/>
        </w:rPr>
      </w:pPr>
      <w:r w:rsidRPr="503DC450">
        <w:rPr>
          <w:rFonts w:ascii="Arial" w:hAnsi="Arial" w:cs="Arial"/>
          <w:sz w:val="22"/>
          <w:szCs w:val="22"/>
        </w:rPr>
        <w:t xml:space="preserve">Students are strongly encouraged to develop their own informed and creative approach, </w:t>
      </w:r>
      <w:r w:rsidRPr="503DC450">
        <w:rPr>
          <w:rFonts w:ascii="Arial" w:hAnsi="Arial" w:cs="Arial"/>
          <w:sz w:val="22"/>
          <w:szCs w:val="22"/>
        </w:rPr>
        <w:t>taking into account</w:t>
      </w:r>
      <w:r w:rsidRPr="503DC450">
        <w:rPr>
          <w:rFonts w:ascii="Arial" w:hAnsi="Arial" w:cs="Arial"/>
          <w:sz w:val="22"/>
          <w:szCs w:val="22"/>
        </w:rPr>
        <w:t xml:space="preserve">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503DC450" w:rsidP="007D20BC">
      <w:pPr>
        <w:pStyle w:val="Body"/>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approach to Teaching, Learning and Assessment within the MA </w:t>
      </w:r>
      <w:r w:rsidRPr="503DC450">
        <w:rPr>
          <w:rFonts w:ascii="Arial" w:hAnsi="Arial" w:cs="Arial"/>
          <w:sz w:val="22"/>
          <w:szCs w:val="22"/>
        </w:rPr>
        <w:t>Product &amp; Furniture Design</w:t>
      </w:r>
      <w:r w:rsidRPr="503DC450">
        <w:rPr>
          <w:rFonts w:ascii="Arial" w:hAnsi="Arial" w:cs="Arial"/>
          <w:sz w:val="22"/>
          <w:szCs w:val="22"/>
        </w:rPr>
        <w:t xml:space="preserve"> </w:t>
      </w:r>
      <w:r w:rsidRPr="503DC450">
        <w:rPr>
          <w:rFonts w:ascii="Arial" w:hAnsi="Arial" w:cs="Arial"/>
          <w:sz w:val="22"/>
          <w:szCs w:val="22"/>
        </w:rPr>
        <w:t xml:space="preserve">and the Design School Postgraduate Framework of core modules is informed by Kingston University’s </w:t>
      </w:r>
      <w:r w:rsidRPr="503DC450">
        <w:rPr>
          <w:rFonts w:ascii="Arial" w:hAnsi="Arial" w:cs="Arial"/>
          <w:sz w:val="22"/>
          <w:szCs w:val="22"/>
        </w:rPr>
        <w:t>S</w:t>
      </w:r>
      <w:r w:rsidRPr="503DC450">
        <w:rPr>
          <w:rFonts w:ascii="Arial" w:hAnsi="Arial" w:cs="Arial"/>
          <w:sz w:val="22"/>
          <w:szCs w:val="22"/>
        </w:rPr>
        <w:t xml:space="preserve">trategic </w:t>
      </w:r>
      <w:r w:rsidRPr="503DC450">
        <w:rPr>
          <w:rFonts w:ascii="Arial" w:hAnsi="Arial" w:cs="Arial"/>
          <w:sz w:val="22"/>
          <w:szCs w:val="22"/>
        </w:rPr>
        <w:t>P</w:t>
      </w:r>
      <w:r w:rsidRPr="503DC450">
        <w:rPr>
          <w:rFonts w:ascii="Arial" w:hAnsi="Arial" w:cs="Arial"/>
          <w:sz w:val="22"/>
          <w:szCs w:val="22"/>
        </w:rPr>
        <w:t>lan.</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In particular this</w:t>
      </w:r>
      <w:r w:rsidRPr="503DC450">
        <w:rPr>
          <w:rFonts w:ascii="Arial" w:hAnsi="Arial" w:cs="Arial"/>
          <w:sz w:val="22"/>
          <w:szCs w:val="22"/>
        </w:rPr>
        <w:t xml:space="preserve"> provides an emphasis on key aspects of our approach: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The encouragement and support of </w:t>
      </w:r>
      <w:r w:rsidRPr="503DC450">
        <w:rPr>
          <w:rFonts w:ascii="Arial" w:hAnsi="Arial" w:cs="Arial"/>
          <w:sz w:val="22"/>
          <w:szCs w:val="22"/>
        </w:rPr>
        <w:t>high quality</w:t>
      </w:r>
      <w:r w:rsidRPr="503DC450">
        <w:rPr>
          <w:rFonts w:ascii="Arial" w:hAnsi="Arial" w:cs="Arial"/>
          <w:sz w:val="22"/>
          <w:szCs w:val="22"/>
        </w:rPr>
        <w:t xml:space="preserve"> teaching informed by research and best practice.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An environment that will create, test, share and spread knowledge for its own sake.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Those delivering teaching will be engaged in the development of their discipline.</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The course team will enable students to have the choices and the skills needed for fulfilling professional employment.</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503DC450">
        <w:rPr>
          <w:rFonts w:ascii="Arial" w:hAnsi="Arial" w:cs="Arial"/>
          <w:i/>
          <w:iCs/>
          <w:sz w:val="22"/>
          <w:szCs w:val="22"/>
        </w:rPr>
        <w:t xml:space="preserve"> producing</w:t>
      </w:r>
      <w:r w:rsidRPr="503DC450">
        <w:rPr>
          <w:rFonts w:ascii="Arial" w:hAnsi="Arial" w:cs="Arial"/>
          <w:sz w:val="22"/>
          <w:szCs w:val="22"/>
        </w:rPr>
        <w:t xml:space="preserve"> and </w:t>
      </w:r>
      <w:r w:rsidRPr="503DC450">
        <w:rPr>
          <w:rFonts w:ascii="Arial" w:hAnsi="Arial" w:cs="Arial"/>
          <w:i/>
          <w:iCs/>
          <w:sz w:val="22"/>
          <w:szCs w:val="22"/>
        </w:rPr>
        <w:t>pursuing</w:t>
      </w:r>
      <w:r w:rsidRPr="503DC450">
        <w:rPr>
          <w:rFonts w:ascii="Arial" w:hAnsi="Arial" w:cs="Arial"/>
          <w:sz w:val="22"/>
          <w:szCs w:val="22"/>
        </w:rPr>
        <w:t xml:space="preserve"> and </w:t>
      </w:r>
      <w:r w:rsidRPr="503DC450">
        <w:rPr>
          <w:rFonts w:ascii="Arial" w:hAnsi="Arial" w:cs="Arial"/>
          <w:i/>
          <w:iCs/>
          <w:sz w:val="22"/>
          <w:szCs w:val="22"/>
        </w:rPr>
        <w:t>producing</w:t>
      </w:r>
      <w:r w:rsidRPr="503DC450">
        <w:rPr>
          <w:rFonts w:ascii="Arial" w:hAnsi="Arial" w:cs="Arial"/>
          <w:sz w:val="22"/>
          <w:szCs w:val="22"/>
        </w:rPr>
        <w:t xml:space="preserve"> and </w:t>
      </w:r>
      <w:r w:rsidRPr="503DC450">
        <w:rPr>
          <w:rFonts w:ascii="Arial" w:hAnsi="Arial" w:cs="Arial"/>
          <w:i/>
          <w:iCs/>
          <w:sz w:val="22"/>
          <w:szCs w:val="22"/>
        </w:rPr>
        <w:t>authoring</w:t>
      </w:r>
      <w:r w:rsidRPr="503DC450">
        <w:rPr>
          <w:rFonts w:ascii="Arial" w:hAnsi="Arial" w:cs="Arial"/>
          <w:sz w:val="22"/>
          <w:szCs w:val="22"/>
        </w:rPr>
        <w:t xml:space="preserve">. These principles relate to the exploration of the discipline in response to questions, problems, </w:t>
      </w:r>
      <w:r w:rsidRPr="503DC450">
        <w:rPr>
          <w:rFonts w:ascii="Arial" w:hAnsi="Arial" w:cs="Arial"/>
          <w:sz w:val="22"/>
          <w:szCs w:val="22"/>
        </w:rPr>
        <w:t>scenarios</w:t>
      </w:r>
      <w:r w:rsidRPr="503DC450">
        <w:rPr>
          <w:rFonts w:ascii="Arial" w:hAnsi="Arial" w:cs="Arial"/>
          <w:sz w:val="22"/>
          <w:szCs w:val="22"/>
        </w:rPr>
        <w:t xml:space="preserve"> and lines of inquiry formulated by tutors and the progressive development of individual approaches based on the formulation of questions by the student. As the course progresses, this can also be expressed as the development from:</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i/>
          <w:iCs/>
          <w:sz w:val="22"/>
          <w:szCs w:val="22"/>
        </w:rPr>
        <w:t xml:space="preserve">How can I answer </w:t>
      </w:r>
      <w:r w:rsidRPr="503DC450">
        <w:rPr>
          <w:rFonts w:ascii="Arial" w:hAnsi="Arial" w:cs="Arial"/>
          <w:b/>
          <w:bCs/>
          <w:i/>
          <w:iCs/>
          <w:sz w:val="22"/>
          <w:szCs w:val="22"/>
        </w:rPr>
        <w:t>this</w:t>
      </w:r>
      <w:r w:rsidRPr="503DC450">
        <w:rPr>
          <w:rFonts w:ascii="Arial" w:hAnsi="Arial" w:cs="Arial"/>
          <w:i/>
          <w:iCs/>
          <w:sz w:val="22"/>
          <w:szCs w:val="22"/>
        </w:rPr>
        <w:t xml:space="preserve"> question?</w:t>
      </w:r>
      <w:r w:rsidRPr="503DC450">
        <w:rPr>
          <w:rFonts w:ascii="Arial" w:hAnsi="Arial" w:cs="Arial"/>
          <w:sz w:val="22"/>
          <w:szCs w:val="22"/>
        </w:rPr>
        <w:t xml:space="preserve"> to </w:t>
      </w:r>
      <w:r w:rsidRPr="503DC450">
        <w:rPr>
          <w:rFonts w:ascii="Arial" w:hAnsi="Arial" w:cs="Arial"/>
          <w:i/>
          <w:iCs/>
          <w:sz w:val="22"/>
          <w:szCs w:val="22"/>
        </w:rPr>
        <w:t xml:space="preserve">How can I answer </w:t>
      </w:r>
      <w:r w:rsidRPr="503DC450">
        <w:rPr>
          <w:rFonts w:ascii="Arial" w:hAnsi="Arial" w:cs="Arial"/>
          <w:b/>
          <w:bCs/>
          <w:i/>
          <w:iCs/>
          <w:sz w:val="22"/>
          <w:szCs w:val="22"/>
        </w:rPr>
        <w:t>my</w:t>
      </w:r>
      <w:r w:rsidRPr="503DC450">
        <w:rPr>
          <w:rFonts w:ascii="Arial" w:hAnsi="Arial" w:cs="Arial"/>
          <w:i/>
          <w:iCs/>
          <w:sz w:val="22"/>
          <w:szCs w:val="22"/>
        </w:rPr>
        <w:t xml:space="preserve"> question?</w:t>
      </w:r>
    </w:p>
    <w:p w:rsidRPr="503DC450" w:rsidP="007D20BC">
      <w:pPr>
        <w:jc w:val="both"/>
        <w:rPr>
          <w:rFonts w:ascii="Arial" w:hAnsi="Arial" w:cs="Arial"/>
          <w:sz w:val="22"/>
          <w:szCs w:val="22"/>
        </w:rPr>
      </w:pPr>
      <w:r w:rsidRPr="503DC450">
        <w:rPr>
          <w:rFonts w:ascii="Arial" w:hAnsi="Arial" w:cs="Arial"/>
          <w:sz w:val="22"/>
          <w:szCs w:val="22"/>
        </w:rPr>
        <w:t xml:space="preserve">The identity and structure of the course and the Design School PG framework are built upon the understanding that high quality and transformative learning occurs when students are: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Engaged in authentic, challenging, enquiry-based activities.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Working collaboratively with peers in a community of shared disciplinary and interdisciplinary practice.</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Able to reflect on and theorise their learning.</w:t>
      </w:r>
    </w:p>
    <w:p w:rsidRPr="503DC450" w:rsidP="007D20BC">
      <w:pPr>
        <w:ind w:left="426"/>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This has informed the development of shared learning outcomes across the courses within the PG framework and the focus of these outcomes on the practice of research and its relationship to purposeful making and enquiry in design.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teaching and learning of practical design projects </w:t>
      </w:r>
      <w:r w:rsidRPr="503DC450">
        <w:rPr>
          <w:rFonts w:ascii="Arial" w:hAnsi="Arial" w:cs="Arial"/>
          <w:sz w:val="22"/>
          <w:szCs w:val="22"/>
        </w:rPr>
        <w:t>incorporates</w:t>
      </w:r>
      <w:r w:rsidRPr="503DC450">
        <w:rPr>
          <w:rFonts w:ascii="Arial" w:hAnsi="Arial" w:cs="Arial"/>
          <w:sz w:val="22"/>
          <w:szCs w:val="22"/>
        </w:rPr>
        <w:t>:</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Analysis of the project brief, research and insight gathering in to the ‘theme’ or objective and subsequent problem finding for problem solving.</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Analysis of context.</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Tools and strategies for Design thinking and the Design process.</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The promotion of workshop practices and creative material usage and manipulation.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Teaching communication and presentation tools and techniques.</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Teaching digital tools for design and realisation</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Tutorials, lectures, </w:t>
      </w:r>
      <w:r w:rsidRPr="503DC450">
        <w:rPr>
          <w:rFonts w:ascii="Arial" w:hAnsi="Arial" w:cs="Arial"/>
          <w:sz w:val="22"/>
          <w:szCs w:val="22"/>
        </w:rPr>
        <w:t>seminars</w:t>
      </w:r>
      <w:r w:rsidRPr="503DC450">
        <w:rPr>
          <w:rFonts w:ascii="Arial" w:hAnsi="Arial" w:cs="Arial"/>
          <w:sz w:val="22"/>
          <w:szCs w:val="22"/>
        </w:rPr>
        <w:t xml:space="preserve"> and workshops</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Developing </w:t>
      </w:r>
      <w:r w:rsidRPr="503DC450">
        <w:rPr>
          <w:rFonts w:ascii="Arial" w:hAnsi="Arial" w:cs="Arial"/>
          <w:sz w:val="22"/>
          <w:szCs w:val="22"/>
        </w:rPr>
        <w:t>students</w:t>
      </w:r>
      <w:r w:rsidRPr="503DC450">
        <w:rPr>
          <w:rFonts w:ascii="Arial" w:hAnsi="Arial" w:cs="Arial"/>
          <w:sz w:val="22"/>
          <w:szCs w:val="22"/>
        </w:rPr>
        <w:t xml:space="preserve"> ability to confidently communicate orally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Project reviews </w:t>
      </w:r>
      <w:r w:rsidRPr="503DC450">
        <w:rPr>
          <w:rFonts w:ascii="Arial" w:hAnsi="Arial" w:cs="Arial"/>
          <w:sz w:val="22"/>
          <w:szCs w:val="22"/>
        </w:rPr>
        <w:t xml:space="preserve">and </w:t>
      </w:r>
      <w:r w:rsidRPr="503DC450">
        <w:rPr>
          <w:rFonts w:ascii="Arial" w:hAnsi="Arial" w:cs="Arial"/>
          <w:sz w:val="22"/>
          <w:szCs w:val="22"/>
        </w:rPr>
        <w:t xml:space="preserve">final reviews </w:t>
      </w:r>
      <w:r w:rsidRPr="503DC450">
        <w:rPr>
          <w:rFonts w:ascii="Arial" w:hAnsi="Arial" w:cs="Arial"/>
          <w:sz w:val="22"/>
          <w:szCs w:val="22"/>
        </w:rPr>
        <w:t>to</w:t>
      </w:r>
      <w:r w:rsidRPr="503DC450">
        <w:rPr>
          <w:rFonts w:ascii="Arial" w:hAnsi="Arial" w:cs="Arial"/>
          <w:sz w:val="22"/>
          <w:szCs w:val="22"/>
        </w:rPr>
        <w:t xml:space="preserve"> promote peer project discussion and debate.</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Encouraging within </w:t>
      </w:r>
      <w:r w:rsidRPr="503DC450">
        <w:rPr>
          <w:rFonts w:ascii="Arial" w:hAnsi="Arial" w:cs="Arial"/>
          <w:sz w:val="22"/>
          <w:szCs w:val="22"/>
        </w:rPr>
        <w:t>students</w:t>
      </w:r>
      <w:r w:rsidRPr="503DC450">
        <w:rPr>
          <w:rFonts w:ascii="Arial" w:hAnsi="Arial" w:cs="Arial"/>
          <w:sz w:val="22"/>
          <w:szCs w:val="22"/>
        </w:rPr>
        <w:t xml:space="preserve"> self-reflection and self-criticism in relation to a sustainable design practice.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pStyle w:val="Body"/>
        <w:jc w:val="both"/>
        <w:rPr>
          <w:rFonts w:ascii="Arial" w:hAnsi="Arial" w:cs="Arial"/>
          <w:sz w:val="22"/>
          <w:szCs w:val="22"/>
        </w:rPr>
      </w:pPr>
      <w:r w:rsidRPr="503DC450">
        <w:rPr>
          <w:rFonts w:ascii="Arial" w:hAnsi="Arial" w:cs="Arial"/>
          <w:sz w:val="22"/>
          <w:szCs w:val="22"/>
        </w:rPr>
        <w:t xml:space="preserve">The delivery of modules will be by means of lectures, seminars, workshops, group critique, individual tutorials, demonstration, projects, briefings, study visits, peer learning, independent </w:t>
      </w:r>
      <w:r w:rsidRPr="503DC450">
        <w:rPr>
          <w:rFonts w:ascii="Arial" w:hAnsi="Arial" w:cs="Arial"/>
          <w:sz w:val="22"/>
          <w:szCs w:val="22"/>
        </w:rPr>
        <w:t>learning</w:t>
      </w:r>
      <w:r w:rsidRPr="503DC450">
        <w:rPr>
          <w:rFonts w:ascii="Arial" w:hAnsi="Arial" w:cs="Arial"/>
          <w:sz w:val="22"/>
          <w:szCs w:val="22"/>
        </w:rPr>
        <w:t xml:space="preserve"> and study skills:</w:t>
      </w:r>
    </w:p>
    <w:p w:rsidRPr="503DC450" w:rsidP="007D20BC">
      <w:pPr>
        <w:pStyle w:val="Bullet"/>
        <w:ind w:left="425"/>
        <w:jc w:val="both"/>
        <w:rPr>
          <w:rFonts w:ascii="Arial" w:hAnsi="Arial" w:cs="Arial"/>
          <w:sz w:val="22"/>
          <w:szCs w:val="22"/>
        </w:rPr>
      </w:pPr>
      <w:r w:rsidRPr="503DC450">
        <w:rPr>
          <w:rFonts w:ascii="Arial" w:hAnsi="Arial" w:cs="Arial"/>
          <w:b/>
          <w:bCs/>
          <w:sz w:val="16"/>
          <w:szCs w:val="16"/>
        </w:rPr>
        <w:t></w:t>
      </w:r>
      <w:r w:rsidRPr="503DC450">
        <w:rPr>
          <w:rFonts w:ascii="Arial" w:hAnsi="Arial" w:cs="Arial"/>
          <w:sz w:val="16"/>
          <w:szCs w:val="16"/>
        </w:rPr>
        <w:t>   </w:t>
      </w:r>
      <w:r w:rsidRPr="503DC450">
        <w:rPr>
          <w:rFonts w:ascii="Arial" w:hAnsi="Arial" w:cs="Arial"/>
          <w:b/>
          <w:bCs/>
          <w:i/>
          <w:iCs/>
          <w:sz w:val="22"/>
          <w:szCs w:val="22"/>
        </w:rPr>
        <w:t>Lectures</w:t>
      </w:r>
      <w:r w:rsidRPr="503DC450">
        <w:rPr>
          <w:rFonts w:ascii="Arial" w:hAnsi="Arial" w:cs="Arial"/>
          <w:i/>
          <w:iCs/>
          <w:sz w:val="22"/>
          <w:szCs w:val="22"/>
        </w:rPr>
        <w:t xml:space="preserve"> </w:t>
      </w:r>
      <w:r w:rsidRPr="503DC450">
        <w:rPr>
          <w:rFonts w:ascii="Arial" w:hAnsi="Arial" w:cs="Arial"/>
          <w:sz w:val="22"/>
          <w:szCs w:val="22"/>
        </w:rPr>
        <w:t>- A member of staff or invited guest will provide taught input, often followed up by group discussion to ensure a full understanding and to encourage critical analysis of the material.</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b/>
          <w:bCs/>
          <w:i/>
          <w:iCs/>
          <w:sz w:val="22"/>
          <w:szCs w:val="22"/>
        </w:rPr>
        <w:t>S</w:t>
      </w:r>
      <w:r w:rsidRPr="503DC450">
        <w:rPr>
          <w:rFonts w:ascii="Arial" w:hAnsi="Arial" w:cs="Arial"/>
          <w:b/>
          <w:bCs/>
          <w:i/>
          <w:iCs/>
          <w:sz w:val="22"/>
          <w:szCs w:val="22"/>
        </w:rPr>
        <w:t>eminars</w:t>
      </w:r>
      <w:r w:rsidRPr="503DC450">
        <w:rPr>
          <w:rFonts w:ascii="Arial" w:hAnsi="Arial" w:cs="Arial"/>
          <w:sz w:val="22"/>
          <w:szCs w:val="22"/>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 xml:space="preserve">Group </w:t>
      </w:r>
      <w:r w:rsidRPr="503DC450">
        <w:rPr>
          <w:rFonts w:ascii="Arial" w:hAnsi="Arial" w:cs="Arial"/>
          <w:b/>
          <w:bCs/>
          <w:i/>
          <w:iCs/>
          <w:sz w:val="22"/>
          <w:szCs w:val="22"/>
        </w:rPr>
        <w:t>Reviews</w:t>
      </w:r>
      <w:r w:rsidRPr="503DC450">
        <w:rPr>
          <w:rFonts w:ascii="Arial" w:hAnsi="Arial" w:cs="Arial"/>
          <w:sz w:val="22"/>
          <w:szCs w:val="22"/>
        </w:rPr>
        <w:t xml:space="preserve"> -</w:t>
      </w:r>
      <w:r w:rsidRPr="503DC450">
        <w:rPr>
          <w:rFonts w:ascii="Arial" w:hAnsi="Arial" w:cs="Arial"/>
          <w:sz w:val="22"/>
          <w:szCs w:val="22"/>
        </w:rPr>
        <w:t xml:space="preserve"> On these occasions a group of students and members of staff and, if appropriate, invited guests from industry will discuss the work of one or more students who are present. </w:t>
      </w:r>
      <w:r w:rsidRPr="503DC450">
        <w:rPr>
          <w:rFonts w:ascii="Arial" w:hAnsi="Arial" w:cs="Arial"/>
          <w:sz w:val="22"/>
          <w:szCs w:val="22"/>
        </w:rPr>
        <w:t xml:space="preserve">Group </w:t>
      </w:r>
      <w:r w:rsidRPr="503DC450">
        <w:rPr>
          <w:rFonts w:ascii="Arial" w:hAnsi="Arial" w:cs="Arial"/>
          <w:sz w:val="22"/>
          <w:szCs w:val="22"/>
        </w:rPr>
        <w:t xml:space="preserve">reviews </w:t>
      </w:r>
      <w:r w:rsidRPr="503DC450">
        <w:rPr>
          <w:rFonts w:ascii="Arial" w:hAnsi="Arial" w:cs="Arial"/>
          <w:sz w:val="22"/>
          <w:szCs w:val="22"/>
        </w:rPr>
        <w:t xml:space="preserve">can take place in studios or students’ </w:t>
      </w:r>
      <w:r w:rsidRPr="503DC450">
        <w:rPr>
          <w:rFonts w:ascii="Arial" w:hAnsi="Arial" w:cs="Arial"/>
          <w:sz w:val="22"/>
          <w:szCs w:val="22"/>
        </w:rPr>
        <w:t>work place</w:t>
      </w:r>
      <w:r w:rsidRPr="503DC450">
        <w:rPr>
          <w:rFonts w:ascii="Arial" w:hAnsi="Arial" w:cs="Arial"/>
          <w:sz w:val="22"/>
          <w:szCs w:val="22"/>
        </w:rPr>
        <w:t xml:space="preserve">, if </w:t>
      </w:r>
      <w:r w:rsidRPr="503DC450">
        <w:rPr>
          <w:rFonts w:ascii="Arial" w:hAnsi="Arial" w:cs="Arial"/>
          <w:sz w:val="22"/>
          <w:szCs w:val="22"/>
        </w:rPr>
        <w:t xml:space="preserve">appropriate, the work to be discussed might alternatively be more formally exhibited. Discussion of this kind provides an ideal arena for the </w:t>
      </w:r>
      <w:r w:rsidRPr="503DC450">
        <w:rPr>
          <w:rFonts w:ascii="Arial" w:hAnsi="Arial" w:cs="Arial"/>
          <w:sz w:val="22"/>
          <w:szCs w:val="22"/>
        </w:rPr>
        <w:t>realisation</w:t>
      </w:r>
      <w:r w:rsidRPr="503DC450">
        <w:rPr>
          <w:rFonts w:ascii="Arial" w:hAnsi="Arial" w:cs="Arial"/>
          <w:sz w:val="22"/>
          <w:szCs w:val="22"/>
        </w:rPr>
        <w:t xml:space="preserve"> of common issues and for the dissemination of ideas. </w:t>
      </w:r>
      <w:r w:rsidRPr="503DC450">
        <w:rPr>
          <w:rFonts w:ascii="Arial" w:hAnsi="Arial" w:cs="Arial"/>
          <w:sz w:val="22"/>
          <w:szCs w:val="22"/>
        </w:rPr>
        <w:t xml:space="preserve">Reviews </w:t>
      </w:r>
      <w:r w:rsidRPr="503DC450">
        <w:rPr>
          <w:rFonts w:ascii="Arial" w:hAnsi="Arial" w:cs="Arial"/>
          <w:sz w:val="22"/>
          <w:szCs w:val="22"/>
        </w:rPr>
        <w:t xml:space="preserve">also provide an invaluable form of self-appraisal, since the student will not only receive individual oral </w:t>
      </w:r>
      <w:r w:rsidRPr="503DC450">
        <w:rPr>
          <w:rFonts w:ascii="Arial" w:hAnsi="Arial" w:cs="Arial"/>
          <w:sz w:val="22"/>
          <w:szCs w:val="22"/>
        </w:rPr>
        <w:t>feedback, but</w:t>
      </w:r>
      <w:r w:rsidRPr="503DC450">
        <w:rPr>
          <w:rFonts w:ascii="Arial" w:hAnsi="Arial" w:cs="Arial"/>
          <w:sz w:val="22"/>
          <w:szCs w:val="22"/>
        </w:rPr>
        <w:t xml:space="preserve"> will indirectly learn by</w:t>
      </w:r>
      <w:r w:rsidRPr="503DC450">
        <w:rPr>
          <w:rFonts w:ascii="Arial" w:hAnsi="Arial" w:cs="Arial"/>
          <w:sz w:val="22"/>
          <w:szCs w:val="22"/>
        </w:rPr>
        <w:t xml:space="preserve"> means of the discussion </w:t>
      </w:r>
      <w:r w:rsidRPr="503DC450">
        <w:rPr>
          <w:rFonts w:ascii="Arial" w:hAnsi="Arial" w:cs="Arial"/>
          <w:sz w:val="22"/>
          <w:szCs w:val="22"/>
        </w:rPr>
        <w:t>centre</w:t>
      </w:r>
      <w:r w:rsidRPr="503DC450">
        <w:rPr>
          <w:rFonts w:ascii="Arial" w:hAnsi="Arial" w:cs="Arial"/>
          <w:sz w:val="22"/>
          <w:szCs w:val="22"/>
        </w:rPr>
        <w:t>d</w:t>
      </w:r>
      <w:r w:rsidRPr="503DC450">
        <w:rPr>
          <w:rFonts w:ascii="Arial" w:hAnsi="Arial" w:cs="Arial"/>
          <w:sz w:val="22"/>
          <w:szCs w:val="22"/>
        </w:rPr>
        <w:t xml:space="preserve"> upon the work</w:t>
      </w:r>
      <w:r w:rsidRPr="503DC450">
        <w:rPr>
          <w:rFonts w:ascii="Arial" w:hAnsi="Arial" w:cs="Arial"/>
          <w:sz w:val="22"/>
          <w:szCs w:val="22"/>
        </w:rPr>
        <w:t xml:space="preserve"> of other members of the group.</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Tutorial</w:t>
      </w:r>
      <w:r w:rsidRPr="503DC450">
        <w:rPr>
          <w:rFonts w:ascii="Arial" w:hAnsi="Arial" w:cs="Arial"/>
          <w:b/>
          <w:bCs/>
          <w:i/>
          <w:iCs/>
          <w:sz w:val="22"/>
          <w:szCs w:val="22"/>
        </w:rPr>
        <w:t>s</w:t>
      </w:r>
      <w:r w:rsidRPr="503DC450">
        <w:rPr>
          <w:rFonts w:ascii="Arial" w:hAnsi="Arial" w:cs="Arial"/>
          <w:sz w:val="22"/>
          <w:szCs w:val="22"/>
        </w:rPr>
        <w:t xml:space="preserve"> - Opportunities to strategically discuss a range of issues relating to individual development and to clarify existing knowledge, to support project initiatives, and to guide and facilitate further independent creative learning and thought.</w:t>
      </w:r>
      <w:r w:rsidRPr="503DC450">
        <w:rPr>
          <w:rFonts w:ascii="Arial" w:hAnsi="Arial" w:cs="Arial"/>
          <w:sz w:val="22"/>
          <w:szCs w:val="22"/>
        </w:rPr>
        <w:t xml:space="preserve">  </w:t>
      </w:r>
      <w:r w:rsidRPr="503DC450">
        <w:rPr>
          <w:rFonts w:ascii="Arial" w:hAnsi="Arial" w:cs="Arial"/>
          <w:sz w:val="22"/>
          <w:szCs w:val="22"/>
        </w:rPr>
        <w:t>They also provide opportunities for formative assessment where students receive feedback on completed work and feed</w:t>
      </w:r>
      <w:r w:rsidRPr="503DC450">
        <w:rPr>
          <w:rFonts w:ascii="Arial" w:hAnsi="Arial" w:cs="Arial"/>
          <w:sz w:val="22"/>
          <w:szCs w:val="22"/>
        </w:rPr>
        <w:t xml:space="preserve"> </w:t>
      </w:r>
      <w:r w:rsidRPr="503DC450">
        <w:rPr>
          <w:rFonts w:ascii="Arial" w:hAnsi="Arial" w:cs="Arial"/>
          <w:sz w:val="22"/>
          <w:szCs w:val="22"/>
        </w:rPr>
        <w:t>forward on work in progress.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Demonstration</w:t>
      </w:r>
      <w:r w:rsidRPr="503DC450">
        <w:rPr>
          <w:rFonts w:ascii="Arial" w:hAnsi="Arial" w:cs="Arial"/>
          <w:i/>
          <w:iCs/>
          <w:sz w:val="22"/>
          <w:szCs w:val="22"/>
        </w:rPr>
        <w:t xml:space="preserve"> </w:t>
      </w:r>
      <w:r w:rsidRPr="503DC450">
        <w:rPr>
          <w:rFonts w:ascii="Arial" w:hAnsi="Arial" w:cs="Arial"/>
          <w:sz w:val="22"/>
          <w:szCs w:val="22"/>
        </w:rPr>
        <w:t xml:space="preserve">- This often involves the first introduction to a material, technology, process, </w:t>
      </w:r>
      <w:r w:rsidRPr="503DC450">
        <w:rPr>
          <w:rFonts w:ascii="Arial" w:hAnsi="Arial" w:cs="Arial"/>
          <w:sz w:val="22"/>
          <w:szCs w:val="22"/>
        </w:rPr>
        <w:t>technique</w:t>
      </w:r>
      <w:r w:rsidRPr="503DC450">
        <w:rPr>
          <w:rFonts w:ascii="Arial" w:hAnsi="Arial" w:cs="Arial"/>
          <w:sz w:val="22"/>
          <w:szCs w:val="22"/>
        </w:rPr>
        <w:t xml:space="preserve"> or equipment not previously experienced by a group of students.</w:t>
      </w:r>
      <w:r w:rsidRPr="503DC450">
        <w:rPr>
          <w:rFonts w:ascii="Arial" w:hAnsi="Arial" w:cs="Arial"/>
          <w:sz w:val="22"/>
          <w:szCs w:val="22"/>
        </w:rPr>
        <w:t xml:space="preserve">  </w:t>
      </w:r>
      <w:r w:rsidRPr="503DC450">
        <w:rPr>
          <w:rFonts w:ascii="Arial" w:hAnsi="Arial" w:cs="Arial"/>
          <w:sz w:val="22"/>
          <w:szCs w:val="22"/>
        </w:rPr>
        <w:t>It is intended to make students aware of the potential and characteristics of the ‘subject’ and it is not intended that every student will necessarily go on to learn and apply the skills or knowledge.</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b/>
          <w:bCs/>
          <w:i/>
          <w:iCs/>
          <w:sz w:val="22"/>
          <w:szCs w:val="22"/>
        </w:rPr>
        <w:t>Study Visits</w:t>
      </w:r>
      <w:r w:rsidRPr="503DC450">
        <w:rPr>
          <w:rFonts w:ascii="Arial" w:hAnsi="Arial" w:cs="Arial"/>
          <w:sz w:val="22"/>
          <w:szCs w:val="22"/>
        </w:rPr>
        <w:t xml:space="preserve"> - By definition, a study visit will involve trave</w:t>
      </w:r>
      <w:r w:rsidRPr="503DC450">
        <w:rPr>
          <w:rFonts w:ascii="Arial" w:hAnsi="Arial" w:cs="Arial"/>
          <w:sz w:val="22"/>
          <w:szCs w:val="22"/>
        </w:rPr>
        <w:t>l</w:t>
      </w:r>
      <w:r w:rsidRPr="503DC450">
        <w:rPr>
          <w:rFonts w:ascii="Arial" w:hAnsi="Arial" w:cs="Arial"/>
          <w:sz w:val="22"/>
          <w:szCs w:val="22"/>
        </w:rPr>
        <w:t>ling to strategic venues of interest which may vary from visits to galleries and museums or to course specific events such as shows, exhibitions, or visits to industry or sites. They form an essential part of the students</w:t>
      </w:r>
      <w:r w:rsidRPr="503DC450">
        <w:rPr>
          <w:rFonts w:ascii="Arial" w:hAnsi="Arial" w:cs="Arial"/>
          <w:sz w:val="22"/>
          <w:szCs w:val="22"/>
        </w:rPr>
        <w:t>’</w:t>
      </w:r>
      <w:r w:rsidRPr="503DC450">
        <w:rPr>
          <w:rFonts w:ascii="Arial" w:hAnsi="Arial" w:cs="Arial"/>
          <w:sz w:val="22"/>
          <w:szCs w:val="22"/>
        </w:rPr>
        <w:t xml:space="preserve"> learning experience as they provide the opportunity to see examples of design and industry in multiple ‘real life’ contexts.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Projects</w:t>
      </w:r>
      <w:r w:rsidRPr="503DC450">
        <w:rPr>
          <w:rFonts w:ascii="Arial" w:hAnsi="Arial" w:cs="Arial"/>
          <w:sz w:val="22"/>
          <w:szCs w:val="22"/>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Pr="503DC450">
        <w:rPr>
          <w:rFonts w:ascii="Arial" w:hAnsi="Arial" w:cs="Arial"/>
          <w:sz w:val="22"/>
          <w:szCs w:val="22"/>
        </w:rPr>
        <w:t>devise their own projects (self-</w:t>
      </w:r>
      <w:r w:rsidRPr="503DC450">
        <w:rPr>
          <w:rFonts w:ascii="Arial" w:hAnsi="Arial" w:cs="Arial"/>
          <w:sz w:val="22"/>
          <w:szCs w:val="22"/>
        </w:rPr>
        <w:t xml:space="preserve">initiated briefs). This kind of project comprises a body of work which reflects the specific interests of the student and which may be developed over </w:t>
      </w:r>
      <w:r w:rsidRPr="503DC450">
        <w:rPr>
          <w:rFonts w:ascii="Arial" w:hAnsi="Arial" w:cs="Arial"/>
          <w:sz w:val="22"/>
          <w:szCs w:val="22"/>
        </w:rPr>
        <w:t>a period of time</w:t>
      </w:r>
      <w:r w:rsidRPr="503DC450">
        <w:rPr>
          <w:rFonts w:ascii="Arial" w:hAnsi="Arial" w:cs="Arial"/>
          <w:sz w:val="22"/>
          <w:szCs w:val="22"/>
        </w:rPr>
        <w:t xml:space="preserve"> which is</w:t>
      </w:r>
      <w:r w:rsidRPr="503DC450">
        <w:rPr>
          <w:rFonts w:ascii="Arial" w:hAnsi="Arial" w:cs="Arial"/>
          <w:b/>
          <w:bCs/>
          <w:sz w:val="22"/>
          <w:szCs w:val="22"/>
        </w:rPr>
        <w:t xml:space="preserve"> </w:t>
      </w:r>
      <w:r w:rsidRPr="503DC450">
        <w:rPr>
          <w:rFonts w:ascii="Arial" w:hAnsi="Arial" w:cs="Arial"/>
          <w:sz w:val="22"/>
          <w:szCs w:val="22"/>
        </w:rPr>
        <w:t>agreed between the</w:t>
      </w:r>
      <w:r w:rsidRPr="503DC450">
        <w:rPr>
          <w:rFonts w:ascii="Arial" w:hAnsi="Arial" w:cs="Arial"/>
          <w:b/>
          <w:bCs/>
          <w:sz w:val="22"/>
          <w:szCs w:val="22"/>
        </w:rPr>
        <w:t xml:space="preserve"> </w:t>
      </w:r>
      <w:r w:rsidRPr="503DC450">
        <w:rPr>
          <w:rFonts w:ascii="Arial" w:hAnsi="Arial" w:cs="Arial"/>
          <w:sz w:val="22"/>
          <w:szCs w:val="22"/>
        </w:rPr>
        <w:t>individual student and a member of the academic staff.</w:t>
      </w:r>
    </w:p>
    <w:p w:rsidRPr="503DC450" w:rsidP="007D20BC">
      <w:pPr>
        <w:pStyle w:val="Bullet"/>
        <w:ind w:left="425"/>
        <w:jc w:val="both"/>
        <w:rPr>
          <w:rFonts w:ascii="Arial" w:hAnsi="Arial" w:cs="Arial"/>
          <w:sz w:val="22"/>
          <w:szCs w:val="22"/>
        </w:rPr>
      </w:pPr>
      <w:r w:rsidRPr="503DC450">
        <w:rPr>
          <w:rFonts w:ascii="Arial" w:hAnsi="Arial" w:cs="Arial"/>
          <w:b/>
          <w:bCs/>
          <w:sz w:val="16"/>
          <w:szCs w:val="16"/>
        </w:rPr>
        <w:t></w:t>
      </w:r>
      <w:r w:rsidRPr="503DC450">
        <w:rPr>
          <w:rFonts w:ascii="Arial" w:hAnsi="Arial" w:cs="Arial"/>
          <w:sz w:val="22"/>
          <w:szCs w:val="22"/>
        </w:rPr>
        <w:t> </w:t>
      </w:r>
      <w:r w:rsidRPr="503DC450">
        <w:rPr>
          <w:rFonts w:ascii="Arial" w:hAnsi="Arial" w:cs="Arial"/>
          <w:b/>
          <w:bCs/>
          <w:i/>
          <w:iCs/>
          <w:sz w:val="22"/>
          <w:szCs w:val="22"/>
        </w:rPr>
        <w:t>Capstone Project</w:t>
      </w:r>
      <w:r w:rsidRPr="503DC450">
        <w:rPr>
          <w:rFonts w:ascii="Arial" w:hAnsi="Arial" w:cs="Arial"/>
          <w:sz w:val="22"/>
          <w:szCs w:val="22"/>
        </w:rPr>
        <w:t xml:space="preserve"> -</w:t>
      </w:r>
      <w:r w:rsidRPr="503DC450">
        <w:rPr>
          <w:rFonts w:ascii="Arial" w:hAnsi="Arial" w:cs="Arial"/>
          <w:b/>
          <w:bCs/>
          <w:sz w:val="22"/>
          <w:szCs w:val="22"/>
        </w:rPr>
        <w:t xml:space="preserve"> </w:t>
      </w:r>
      <w:r w:rsidRPr="503DC450">
        <w:rPr>
          <w:rFonts w:ascii="Arial" w:hAnsi="Arial" w:cs="Arial"/>
          <w:sz w:val="22"/>
          <w:szCs w:val="22"/>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Briefing</w:t>
      </w:r>
      <w:r w:rsidRPr="503DC450">
        <w:rPr>
          <w:rFonts w:ascii="Arial" w:hAnsi="Arial" w:cs="Arial"/>
          <w:i/>
          <w:iCs/>
          <w:sz w:val="22"/>
          <w:szCs w:val="22"/>
        </w:rPr>
        <w:t xml:space="preserve"> </w:t>
      </w:r>
      <w:r w:rsidRPr="503DC450">
        <w:rPr>
          <w:rFonts w:ascii="Arial" w:hAnsi="Arial" w:cs="Arial"/>
          <w:sz w:val="22"/>
          <w:szCs w:val="22"/>
        </w:rPr>
        <w:t>- A briefing takes place to make known and explain specifics of projects; theme, aims &amp; objectives, learning outcomes, timetable etc.</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Peer Learning</w:t>
      </w:r>
      <w:r w:rsidRPr="503DC450">
        <w:rPr>
          <w:rFonts w:ascii="Arial" w:hAnsi="Arial" w:cs="Arial"/>
          <w:sz w:val="22"/>
          <w:szCs w:val="22"/>
        </w:rPr>
        <w:t xml:space="preserve"> - A vital component of teaching and learning practices of the design courses. The work of the course is largely studio</w:t>
      </w:r>
      <w:r w:rsidRPr="503DC450">
        <w:rPr>
          <w:rFonts w:ascii="Arial" w:hAnsi="Arial" w:cs="Arial"/>
          <w:sz w:val="22"/>
          <w:szCs w:val="22"/>
        </w:rPr>
        <w:t>-</w:t>
      </w:r>
      <w:r w:rsidRPr="503DC450">
        <w:rPr>
          <w:rFonts w:ascii="Arial" w:hAnsi="Arial" w:cs="Arial"/>
          <w:sz w:val="22"/>
          <w:szCs w:val="22"/>
        </w:rPr>
        <w:t xml:space="preserve">based, and thus enables students to take notice of each other’s work and discuss </w:t>
      </w:r>
      <w:r w:rsidRPr="503DC450">
        <w:rPr>
          <w:rFonts w:ascii="Arial" w:hAnsi="Arial" w:cs="Arial"/>
          <w:sz w:val="22"/>
          <w:szCs w:val="22"/>
        </w:rPr>
        <w:t xml:space="preserve">issues informally. Peer learning also takes place through other activities such as group </w:t>
      </w:r>
      <w:r w:rsidRPr="503DC450">
        <w:rPr>
          <w:rFonts w:ascii="Arial" w:hAnsi="Arial" w:cs="Arial"/>
          <w:sz w:val="22"/>
          <w:szCs w:val="22"/>
        </w:rPr>
        <w:t xml:space="preserve">reviews </w:t>
      </w:r>
      <w:r w:rsidRPr="503DC450">
        <w:rPr>
          <w:rFonts w:ascii="Arial" w:hAnsi="Arial" w:cs="Arial"/>
          <w:sz w:val="22"/>
          <w:szCs w:val="22"/>
        </w:rPr>
        <w:t>and seminars.</w:t>
      </w:r>
    </w:p>
    <w:p w:rsidRPr="503DC450" w:rsidP="007D20BC">
      <w:pPr>
        <w:pStyle w:val="Bullet"/>
        <w:ind w:left="425"/>
        <w:jc w:val="both"/>
        <w:rPr>
          <w:rFonts w:ascii="Arial" w:hAnsi="Arial" w:cs="Arial"/>
          <w:sz w:val="22"/>
          <w:szCs w:val="22"/>
        </w:rPr>
      </w:pPr>
      <w:r w:rsidRPr="503DC450">
        <w:rPr>
          <w:rFonts w:ascii="Arial" w:hAnsi="Arial" w:cs="Arial"/>
          <w:i/>
          <w:iCs/>
          <w:sz w:val="16"/>
          <w:szCs w:val="16"/>
        </w:rPr>
        <w:t></w:t>
      </w:r>
      <w:r w:rsidRPr="503DC450">
        <w:rPr>
          <w:rFonts w:ascii="Arial" w:hAnsi="Arial" w:cs="Arial"/>
          <w:sz w:val="22"/>
          <w:szCs w:val="22"/>
        </w:rPr>
        <w:t>  </w:t>
      </w:r>
      <w:r w:rsidRPr="503DC450">
        <w:rPr>
          <w:rFonts w:ascii="Arial" w:hAnsi="Arial" w:cs="Arial"/>
          <w:b/>
          <w:bCs/>
          <w:i/>
          <w:iCs/>
          <w:sz w:val="22"/>
          <w:szCs w:val="22"/>
        </w:rPr>
        <w:t>Independent Study</w:t>
      </w:r>
      <w:r w:rsidRPr="503DC450">
        <w:rPr>
          <w:rFonts w:ascii="Arial" w:hAnsi="Arial" w:cs="Arial"/>
          <w:sz w:val="22"/>
          <w:szCs w:val="22"/>
        </w:rPr>
        <w:t xml:space="preserve"> - It will be </w:t>
      </w:r>
      <w:r w:rsidRPr="503DC450">
        <w:rPr>
          <w:rFonts w:ascii="Arial" w:hAnsi="Arial" w:cs="Arial"/>
          <w:sz w:val="22"/>
          <w:szCs w:val="22"/>
        </w:rPr>
        <w:t>recognised</w:t>
      </w:r>
      <w:r w:rsidRPr="503DC450">
        <w:rPr>
          <w:rFonts w:ascii="Arial" w:hAnsi="Arial" w:cs="Arial"/>
          <w:sz w:val="22"/>
          <w:szCs w:val="22"/>
        </w:rPr>
        <w:t xml:space="preserve"> that all students engage in forms of independent learning in relation to the broad issues of the subject. Formal tuition will often be based upon the expectation of some level of self-</w:t>
      </w:r>
      <w:r w:rsidRPr="503DC450">
        <w:rPr>
          <w:rFonts w:ascii="Arial" w:hAnsi="Arial" w:cs="Arial"/>
          <w:sz w:val="22"/>
          <w:szCs w:val="22"/>
        </w:rPr>
        <w:t>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The VLE (Virtual Learning Environment)</w:t>
      </w:r>
      <w:r w:rsidRPr="503DC450">
        <w:rPr>
          <w:rFonts w:ascii="Arial" w:hAnsi="Arial" w:cs="Arial"/>
          <w:b/>
          <w:bCs/>
          <w:i/>
          <w:iCs/>
          <w:sz w:val="22"/>
          <w:szCs w:val="22"/>
        </w:rPr>
        <w:t xml:space="preserve"> Canvas</w:t>
      </w:r>
      <w:r w:rsidRPr="503DC450">
        <w:rPr>
          <w:rFonts w:ascii="Arial" w:hAnsi="Arial" w:cs="Arial"/>
          <w:sz w:val="22"/>
          <w:szCs w:val="22"/>
        </w:rPr>
        <w:t xml:space="preserve"> - is an online environment that aims to make the most effective use of a range of virtual teaching and learning tools. The </w:t>
      </w:r>
      <w:r w:rsidRPr="503DC450">
        <w:rPr>
          <w:rFonts w:ascii="Arial" w:hAnsi="Arial" w:cs="Arial"/>
          <w:sz w:val="22"/>
          <w:szCs w:val="22"/>
        </w:rPr>
        <w:t xml:space="preserve">School is involved in the development of online materials to support course, </w:t>
      </w:r>
      <w:r w:rsidRPr="503DC450">
        <w:rPr>
          <w:rFonts w:ascii="Arial" w:hAnsi="Arial" w:cs="Arial"/>
          <w:sz w:val="22"/>
          <w:szCs w:val="22"/>
        </w:rPr>
        <w:t>school</w:t>
      </w:r>
      <w:r w:rsidRPr="503DC450">
        <w:rPr>
          <w:rFonts w:ascii="Arial" w:hAnsi="Arial" w:cs="Arial"/>
          <w:sz w:val="22"/>
          <w:szCs w:val="22"/>
        </w:rPr>
        <w:t xml:space="preserve"> and faculty content. The aim is to develop a flexible set of virtual resources demonstrating skills, </w:t>
      </w:r>
      <w:r w:rsidRPr="503DC450">
        <w:rPr>
          <w:rFonts w:ascii="Arial" w:hAnsi="Arial" w:cs="Arial"/>
          <w:sz w:val="22"/>
          <w:szCs w:val="22"/>
        </w:rPr>
        <w:t>processes</w:t>
      </w:r>
      <w:r w:rsidRPr="503DC450">
        <w:rPr>
          <w:rFonts w:ascii="Arial" w:hAnsi="Arial" w:cs="Arial"/>
          <w:sz w:val="22"/>
          <w:szCs w:val="22"/>
        </w:rPr>
        <w:t xml:space="preserve"> and methods valuable for enhancing creativity and knowledge throughout the Design School. </w:t>
      </w:r>
      <w:r w:rsidRPr="503DC450">
        <w:rPr>
          <w:rFonts w:ascii="Arial" w:hAnsi="Arial" w:cs="Arial"/>
          <w:sz w:val="22"/>
          <w:szCs w:val="22"/>
        </w:rPr>
        <w:t>Additionally</w:t>
      </w:r>
      <w:r w:rsidRPr="503DC450">
        <w:rPr>
          <w:rFonts w:ascii="Arial" w:hAnsi="Arial" w:cs="Arial"/>
          <w:sz w:val="22"/>
          <w:szCs w:val="22"/>
        </w:rPr>
        <w:t xml:space="preserve"> the VLE</w:t>
      </w:r>
      <w:r w:rsidRPr="503DC450">
        <w:rPr>
          <w:rFonts w:ascii="Arial" w:hAnsi="Arial" w:cs="Arial"/>
          <w:sz w:val="22"/>
          <w:szCs w:val="22"/>
        </w:rPr>
        <w:t xml:space="preserve"> – Canvas –</w:t>
      </w:r>
      <w:r w:rsidRPr="503DC450">
        <w:rPr>
          <w:rFonts w:ascii="Arial" w:hAnsi="Arial" w:cs="Arial"/>
          <w:sz w:val="22"/>
          <w:szCs w:val="22"/>
        </w:rPr>
        <w:t xml:space="preserve"> seeks</w:t>
      </w:r>
      <w:r w:rsidRPr="503DC450">
        <w:rPr>
          <w:rFonts w:ascii="Arial" w:hAnsi="Arial" w:cs="Arial"/>
          <w:sz w:val="22"/>
          <w:szCs w:val="22"/>
        </w:rPr>
        <w:t xml:space="preserve"> </w:t>
      </w:r>
      <w:r w:rsidRPr="503DC450">
        <w:rPr>
          <w:rFonts w:ascii="Arial" w:hAnsi="Arial" w:cs="Arial"/>
          <w:sz w:val="22"/>
          <w:szCs w:val="22"/>
        </w:rPr>
        <w:t>to enhance communication, a sense of community and inter course discussion and debate.</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LinkedIn Learning</w:t>
      </w:r>
      <w:r w:rsidRPr="503DC450">
        <w:rPr>
          <w:rFonts w:ascii="Arial" w:hAnsi="Arial" w:cs="Arial"/>
          <w:b/>
          <w:bCs/>
          <w:sz w:val="22"/>
          <w:szCs w:val="22"/>
        </w:rPr>
        <w:t xml:space="preserve"> </w:t>
      </w:r>
      <w:r w:rsidRPr="503DC450">
        <w:rPr>
          <w:rFonts w:ascii="Arial" w:hAnsi="Arial" w:cs="Arial"/>
          <w:sz w:val="22"/>
          <w:szCs w:val="22"/>
        </w:rPr>
        <w:t xml:space="preserve">– </w:t>
      </w:r>
      <w:r w:rsidRPr="503DC450">
        <w:rPr>
          <w:rFonts w:ascii="Arial" w:hAnsi="Arial" w:cs="Arial"/>
          <w:sz w:val="22"/>
          <w:szCs w:val="22"/>
        </w:rPr>
        <w:t>a</w:t>
      </w:r>
      <w:r w:rsidRPr="503DC450">
        <w:rPr>
          <w:rFonts w:ascii="Arial" w:hAnsi="Arial" w:cs="Arial"/>
          <w:sz w:val="22"/>
          <w:szCs w:val="22"/>
        </w:rPr>
        <w:t>ll</w:t>
      </w:r>
      <w:r w:rsidRPr="503DC450">
        <w:rPr>
          <w:rFonts w:ascii="Arial" w:hAnsi="Arial" w:cs="Arial"/>
          <w:sz w:val="22"/>
          <w:szCs w:val="22"/>
        </w:rPr>
        <w:t xml:space="preserve"> </w:t>
      </w:r>
      <w:r w:rsidRPr="503DC450">
        <w:rPr>
          <w:rFonts w:ascii="Arial" w:hAnsi="Arial" w:cs="Arial"/>
          <w:sz w:val="22"/>
          <w:szCs w:val="22"/>
        </w:rPr>
        <w:t xml:space="preserve">courses based in the Kingston School of Art offer </w:t>
      </w:r>
      <w:r w:rsidRPr="503DC450">
        <w:rPr>
          <w:rFonts w:ascii="Arial" w:hAnsi="Arial" w:cs="Arial"/>
          <w:sz w:val="22"/>
          <w:szCs w:val="22"/>
        </w:rPr>
        <w:t>students</w:t>
      </w:r>
      <w:r w:rsidRPr="503DC450">
        <w:rPr>
          <w:rFonts w:ascii="Arial" w:hAnsi="Arial" w:cs="Arial"/>
          <w:sz w:val="22"/>
          <w:szCs w:val="22"/>
        </w:rPr>
        <w:t xml:space="preserve"> free access to the online video tutorial platform </w:t>
      </w:r>
      <w:r w:rsidRPr="503DC450">
        <w:rPr>
          <w:rFonts w:ascii="Arial" w:hAnsi="Arial" w:cs="Arial"/>
          <w:sz w:val="22"/>
          <w:szCs w:val="22"/>
        </w:rPr>
        <w:t>LinkedIn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w:t>
      </w:r>
      <w:r w:rsidRPr="503DC450">
        <w:rPr>
          <w:rFonts w:ascii="Arial" w:hAnsi="Arial" w:cs="Arial"/>
          <w:sz w:val="22"/>
          <w:szCs w:val="22"/>
        </w:rPr>
        <w:t>CAD</w:t>
      </w:r>
      <w:r w:rsidRPr="503DC450">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Work Placement</w:t>
      </w:r>
      <w:r w:rsidRPr="503DC450">
        <w:rPr>
          <w:rFonts w:ascii="Arial" w:hAnsi="Arial" w:cs="Arial"/>
          <w:b/>
          <w:bCs/>
          <w:sz w:val="22"/>
          <w:szCs w:val="22"/>
        </w:rPr>
        <w:t xml:space="preserve"> </w:t>
      </w:r>
      <w:r w:rsidRPr="503DC450">
        <w:rPr>
          <w:rFonts w:ascii="Arial" w:hAnsi="Arial" w:cs="Arial"/>
          <w:sz w:val="22"/>
          <w:szCs w:val="22"/>
        </w:rPr>
        <w:t>– t</w:t>
      </w:r>
      <w:r w:rsidRPr="503DC450">
        <w:rPr>
          <w:rFonts w:ascii="Arial" w:hAnsi="Arial" w:cs="Arial"/>
          <w:sz w:val="22"/>
          <w:szCs w:val="22"/>
        </w:rPr>
        <w:t>he</w:t>
      </w:r>
      <w:r w:rsidRPr="503DC450">
        <w:rPr>
          <w:rFonts w:ascii="Arial" w:hAnsi="Arial" w:cs="Arial"/>
          <w:sz w:val="22"/>
          <w:szCs w:val="22"/>
        </w:rPr>
        <w:t> </w:t>
      </w:r>
      <w:r w:rsidRPr="503DC450">
        <w:rPr>
          <w:rFonts w:ascii="Arial" w:hAnsi="Arial" w:cs="Arial"/>
          <w:sz w:val="22"/>
          <w:szCs w:val="22"/>
        </w:rPr>
        <w:t xml:space="preserve">integrated work placement is primarily reliant on independent activity on the part of the student, with some support from their tutor. </w:t>
      </w:r>
      <w:r w:rsidRPr="503DC450">
        <w:rPr>
          <w:rFonts w:ascii="Arial" w:hAnsi="Arial" w:cs="Arial"/>
          <w:sz w:val="22"/>
          <w:szCs w:val="22"/>
        </w:rPr>
        <w:t> </w:t>
      </w:r>
      <w:r w:rsidRPr="503DC450">
        <w:rPr>
          <w:rFonts w:ascii="Arial" w:hAnsi="Arial" w:cs="Arial"/>
          <w:sz w:val="22"/>
          <w:szCs w:val="22"/>
        </w:rPr>
        <w:t xml:space="preserve">During the period of the placement(s) students will be supervised (online) by a tutor who, if possible, will visit during the placement. Depending on the location of the placement, meetings might take place face-to-face or via platforms such as </w:t>
      </w:r>
      <w:r w:rsidRPr="503DC450">
        <w:rPr>
          <w:rFonts w:ascii="Arial" w:hAnsi="Arial" w:cs="Arial"/>
          <w:sz w:val="22"/>
          <w:szCs w:val="22"/>
        </w:rPr>
        <w:t>Microsoft Teams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The placement</w:t>
      </w:r>
      <w:r w:rsidRPr="503DC450">
        <w:rPr>
          <w:rFonts w:ascii="Arial" w:hAnsi="Arial" w:cs="Arial"/>
          <w:sz w:val="22"/>
          <w:szCs w:val="22"/>
        </w:rPr>
        <w:t> </w:t>
      </w:r>
      <w:r w:rsidRPr="503DC450">
        <w:rPr>
          <w:rFonts w:ascii="Arial" w:hAnsi="Arial" w:cs="Arial"/>
          <w:sz w:val="22"/>
          <w:szCs w:val="22"/>
        </w:rPr>
        <w:t>module will make use of the Virtual Learning Environment (VLE) Canvas for communication and dissemination of information between students and staff as well as making online learning materials available.</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2"/>
          <w:szCs w:val="22"/>
        </w:rPr>
        <w:t>ASSESSMENT</w:t>
      </w:r>
    </w:p>
    <w:p w:rsidRPr="503DC450" w:rsidP="007D20BC">
      <w:pPr>
        <w:jc w:val="both"/>
        <w:rPr>
          <w:rFonts w:ascii="Arial" w:hAnsi="Arial" w:cs="Arial"/>
          <w:sz w:val="22"/>
          <w:szCs w:val="22"/>
        </w:rPr>
      </w:pPr>
      <w:r w:rsidRPr="503DC450">
        <w:rPr>
          <w:rFonts w:ascii="Arial" w:hAnsi="Arial" w:cs="Arial"/>
          <w:sz w:val="22"/>
          <w:szCs w:val="22"/>
        </w:rPr>
        <w:t>Assessment is both summative and formative.</w:t>
      </w:r>
      <w:r w:rsidRPr="503DC450">
        <w:rPr>
          <w:rFonts w:ascii="Arial" w:hAnsi="Arial" w:cs="Arial"/>
          <w:sz w:val="22"/>
          <w:szCs w:val="22"/>
        </w:rPr>
        <w:t xml:space="preserve">  </w:t>
      </w:r>
      <w:r w:rsidRPr="503DC450">
        <w:rPr>
          <w:rFonts w:ascii="Arial" w:hAnsi="Arial" w:cs="Arial"/>
          <w:sz w:val="22"/>
          <w:szCs w:val="22"/>
        </w:rPr>
        <w:t xml:space="preserve">Primarily, summative assessment is intended to identify what has been learned (assessment </w:t>
      </w:r>
      <w:r w:rsidRPr="503DC450">
        <w:rPr>
          <w:rFonts w:ascii="Arial" w:hAnsi="Arial" w:cs="Arial"/>
          <w:sz w:val="22"/>
          <w:szCs w:val="22"/>
          <w:u w:val="single"/>
        </w:rPr>
        <w:t>of</w:t>
      </w:r>
      <w:r w:rsidRPr="503DC450">
        <w:rPr>
          <w:rFonts w:ascii="Arial" w:hAnsi="Arial" w:cs="Arial"/>
          <w:sz w:val="22"/>
          <w:szCs w:val="22"/>
        </w:rPr>
        <w:t xml:space="preserve"> learning) and therefore assessed mark counts towards the module grade awarded.</w:t>
      </w:r>
      <w:r w:rsidRPr="503DC450">
        <w:rPr>
          <w:rFonts w:ascii="Arial" w:hAnsi="Arial" w:cs="Arial"/>
          <w:sz w:val="22"/>
          <w:szCs w:val="22"/>
        </w:rPr>
        <w:t xml:space="preserve">  </w:t>
      </w:r>
      <w:r w:rsidRPr="503DC450">
        <w:rPr>
          <w:rFonts w:ascii="Arial" w:hAnsi="Arial" w:cs="Arial"/>
          <w:sz w:val="22"/>
          <w:szCs w:val="22"/>
        </w:rPr>
        <w:t xml:space="preserve">Formative assessment is intended to help students to learn (assessment </w:t>
      </w:r>
      <w:r w:rsidRPr="503DC450">
        <w:rPr>
          <w:rFonts w:ascii="Arial" w:hAnsi="Arial" w:cs="Arial"/>
          <w:sz w:val="22"/>
          <w:szCs w:val="22"/>
          <w:u w:val="single"/>
        </w:rPr>
        <w:t>for</w:t>
      </w:r>
      <w:r w:rsidRPr="503DC450">
        <w:rPr>
          <w:rFonts w:ascii="Arial" w:hAnsi="Arial" w:cs="Arial"/>
          <w:sz w:val="22"/>
          <w:szCs w:val="22"/>
        </w:rPr>
        <w:t xml:space="preserve"> learning) and provides opportunities for students to identify their strengths and </w:t>
      </w:r>
      <w:r w:rsidRPr="503DC450">
        <w:rPr>
          <w:rFonts w:ascii="Arial" w:hAnsi="Arial" w:cs="Arial"/>
          <w:sz w:val="22"/>
          <w:szCs w:val="22"/>
        </w:rPr>
        <w:t>weaknesses, and</w:t>
      </w:r>
      <w:r w:rsidRPr="503DC450">
        <w:rPr>
          <w:rFonts w:ascii="Arial" w:hAnsi="Arial" w:cs="Arial"/>
          <w:sz w:val="22"/>
          <w:szCs w:val="22"/>
        </w:rPr>
        <w:t xml:space="preserve"> focus on areas they need to work on and improve.</w:t>
      </w:r>
      <w:r w:rsidRPr="503DC450">
        <w:rPr>
          <w:rFonts w:ascii="Arial" w:hAnsi="Arial" w:cs="Arial"/>
          <w:sz w:val="22"/>
          <w:szCs w:val="22"/>
        </w:rPr>
        <w:t xml:space="preserve">    </w:t>
      </w:r>
      <w:r w:rsidRPr="503DC450">
        <w:rPr>
          <w:rFonts w:ascii="Arial" w:hAnsi="Arial" w:cs="Arial"/>
          <w:sz w:val="22"/>
          <w:szCs w:val="22"/>
        </w:rPr>
        <w:t>The assessment strategy and criteria are clearly described in every written brief and mapped appropriately to the module learning outcomes.</w:t>
      </w:r>
      <w:r w:rsidRPr="503DC450">
        <w:rPr>
          <w:rFonts w:ascii="Arial" w:hAnsi="Arial" w:cs="Arial"/>
          <w:sz w:val="22"/>
          <w:szCs w:val="22"/>
        </w:rPr>
        <w:t xml:space="preserve">  </w:t>
      </w:r>
      <w:r w:rsidRPr="503DC450">
        <w:rPr>
          <w:rFonts w:ascii="Arial" w:hAnsi="Arial" w:cs="Arial"/>
          <w:sz w:val="22"/>
          <w:szCs w:val="22"/>
        </w:rPr>
        <w:t>The assessment criteria are generally additionally communicated verbally at each project briefing.</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b/>
          <w:bCs/>
          <w:sz w:val="22"/>
          <w:szCs w:val="22"/>
        </w:rPr>
        <w:t>The Personal Tutor Scheme</w:t>
      </w:r>
    </w:p>
    <w:p w:rsidRPr="503DC450" w:rsidP="00B40E99">
      <w:pPr>
        <w:jc w:val="both"/>
        <w:rPr>
          <w:rFonts w:ascii="Arial" w:hAnsi="Arial" w:cs="Arial"/>
          <w:sz w:val="22"/>
          <w:szCs w:val="22"/>
        </w:rPr>
      </w:pPr>
      <w:r w:rsidRPr="503DC450">
        <w:rPr>
          <w:rFonts w:ascii="Arial" w:hAnsi="Arial" w:cs="Arial"/>
          <w:b/>
          <w:bCs/>
          <w:sz w:val="22"/>
          <w:szCs w:val="22"/>
        </w:rPr>
        <w:t>Aims of the Design School Personal Tutor Scheme</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w:t>
      </w:r>
      <w:r w:rsidRPr="503DC450">
        <w:rPr>
          <w:rFonts w:ascii="Arial" w:hAnsi="Arial" w:cs="Arial"/>
          <w:sz w:val="22"/>
          <w:szCs w:val="22"/>
        </w:rPr>
        <w:t>To provide appropriate academic advice and guidance throughout a student’s studies by monitoring progress and identifying individual needs.</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provide </w:t>
      </w:r>
      <w:r w:rsidRPr="503DC450">
        <w:rPr>
          <w:rFonts w:ascii="Arial" w:hAnsi="Arial" w:cs="Arial"/>
          <w:sz w:val="22"/>
          <w:szCs w:val="22"/>
        </w:rPr>
        <w:t>an</w:t>
      </w:r>
      <w:r w:rsidRPr="503DC450">
        <w:rPr>
          <w:rFonts w:ascii="Arial" w:hAnsi="Arial" w:cs="Arial"/>
          <w:sz w:val="22"/>
          <w:szCs w:val="22"/>
        </w:rPr>
        <w:t xml:space="preserve"> holistic overview and guidance for individual study and the development of personal practice.</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To provide a formalised structure for the ongoing process of formative feedback and personal development embedded in studio culture and teaching.</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To help to develop a student’s ability to be self-reliant and reflective and their ability to use feedback/feed forward to best advantage.</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Key Features of the Design School Personal Tutor scheme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Personal Tutors will be allocated at the beginning of the academic year.</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The introductory/welcome tutorial meeting will occur at the beginning of the academic year. Subsequent tutorials will follow and respond to key/stages in the academic year.</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Students will keep the same personal tutor throughout their year/s of study.</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One-to-one meetings will vary in length depending on the profile and needs of individual students.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The Design School employs permanent staff members to lead level 7. The permanent nature of the staff affords them substantial and visible presence for students </w:t>
      </w:r>
      <w:r w:rsidRPr="503DC450">
        <w:rPr>
          <w:rFonts w:ascii="Arial" w:hAnsi="Arial" w:cs="Arial"/>
          <w:sz w:val="22"/>
          <w:szCs w:val="22"/>
        </w:rPr>
        <w:t xml:space="preserve">and as such is designed to be </w:t>
      </w:r>
      <w:r w:rsidRPr="503DC450">
        <w:rPr>
          <w:rFonts w:ascii="Arial" w:hAnsi="Arial" w:cs="Arial"/>
          <w:sz w:val="22"/>
          <w:szCs w:val="22"/>
        </w:rPr>
        <w:t xml:space="preserve">supportive and helpful. Teaching and learning within the course </w:t>
      </w:r>
      <w:r w:rsidRPr="503DC450">
        <w:rPr>
          <w:rFonts w:ascii="Arial" w:hAnsi="Arial" w:cs="Arial"/>
          <w:sz w:val="22"/>
          <w:szCs w:val="22"/>
        </w:rPr>
        <w:t>is</w:t>
      </w:r>
      <w:r w:rsidRPr="503DC450">
        <w:rPr>
          <w:rFonts w:ascii="Arial" w:hAnsi="Arial" w:cs="Arial"/>
          <w:sz w:val="22"/>
          <w:szCs w:val="22"/>
        </w:rPr>
        <w:t xml:space="preserve"> enhanced through the strategic use of HPL staff with project related skills, knowledge and expertise. Under the personal tutor scheme permanent staff will assume this role and their responsibilities will include: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help students to make the transition to </w:t>
      </w:r>
      <w:r w:rsidRPr="503DC450">
        <w:rPr>
          <w:rFonts w:ascii="Arial" w:hAnsi="Arial" w:cs="Arial"/>
          <w:sz w:val="22"/>
          <w:szCs w:val="22"/>
        </w:rPr>
        <w:t>Masters</w:t>
      </w:r>
      <w:r w:rsidRPr="503DC450">
        <w:rPr>
          <w:rFonts w:ascii="Arial" w:hAnsi="Arial" w:cs="Arial"/>
          <w:sz w:val="22"/>
          <w:szCs w:val="22"/>
        </w:rPr>
        <w:t xml:space="preserve"> level study and understand how to use feedback on the postgraduate course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encourage students to be proactive in making links between their course and their professional and/or academic aspirations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explore students’ research aspirations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help students gain confidence in contributing to, and learning from, constructive peer </w:t>
      </w:r>
      <w:r w:rsidRPr="503DC450">
        <w:rPr>
          <w:rFonts w:ascii="Arial" w:hAnsi="Arial" w:cs="Arial"/>
          <w:sz w:val="22"/>
          <w:szCs w:val="22"/>
        </w:rPr>
        <w:t>review</w:t>
      </w:r>
      <w:r w:rsidRPr="503DC450">
        <w:rPr>
          <w:rFonts w:ascii="Arial" w:hAnsi="Arial" w:cs="Arial"/>
          <w:sz w:val="22"/>
          <w:szCs w:val="22"/>
        </w:rPr>
        <w:t xml:space="preserve">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encourage students to become part of a wider disciplinary and/or professional </w:t>
      </w:r>
      <w:r w:rsidRPr="503DC450">
        <w:rPr>
          <w:rFonts w:ascii="Arial" w:hAnsi="Arial" w:cs="Arial"/>
          <w:sz w:val="22"/>
          <w:szCs w:val="22"/>
        </w:rPr>
        <w:t>community</w:t>
      </w:r>
      <w:r w:rsidRPr="503DC450">
        <w:rPr>
          <w:rFonts w:ascii="Arial" w:hAnsi="Arial" w:cs="Arial"/>
          <w:sz w:val="22"/>
          <w:szCs w:val="22"/>
        </w:rPr>
        <w:t xml:space="preserve">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To help students</w:t>
      </w:r>
      <w:r w:rsidRPr="503DC450">
        <w:rPr>
          <w:rFonts w:ascii="Arial" w:hAnsi="Arial" w:cs="Arial"/>
          <w:sz w:val="22"/>
          <w:szCs w:val="22"/>
        </w:rPr>
        <w:t xml:space="preserve"> to prepare for the dynamics of </w:t>
      </w:r>
      <w:r w:rsidRPr="503DC450">
        <w:rPr>
          <w:rFonts w:ascii="Arial" w:hAnsi="Arial" w:cs="Arial"/>
          <w:sz w:val="22"/>
          <w:szCs w:val="22"/>
        </w:rPr>
        <w:t>supervision</w:t>
      </w:r>
      <w:r w:rsidRPr="503DC450">
        <w:rPr>
          <w:rFonts w:ascii="Arial" w:hAnsi="Arial" w:cs="Arial"/>
          <w:sz w:val="22"/>
          <w:szCs w:val="22"/>
        </w:rPr>
        <w:t xml:space="preserve"> </w:t>
      </w:r>
    </w:p>
    <w:p w:rsidRPr="503DC450" w:rsidP="00B40E99">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Module L</w:t>
      </w:r>
      <w:r w:rsidRPr="503DC450">
        <w:rPr>
          <w:rFonts w:ascii="Arial" w:hAnsi="Arial" w:cs="Arial"/>
          <w:sz w:val="22"/>
          <w:szCs w:val="22"/>
        </w:rPr>
        <w:t>eader for each module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A Course </w:t>
      </w:r>
      <w:r w:rsidRPr="503DC450">
        <w:rPr>
          <w:rFonts w:ascii="Arial" w:hAnsi="Arial" w:cs="Arial"/>
          <w:sz w:val="22"/>
          <w:szCs w:val="22"/>
        </w:rPr>
        <w:t>Leader</w:t>
      </w:r>
      <w:r w:rsidRPr="503DC450">
        <w:rPr>
          <w:rFonts w:ascii="Arial" w:hAnsi="Arial" w:cs="Arial"/>
          <w:sz w:val="22"/>
          <w:szCs w:val="22"/>
        </w:rPr>
        <w:t xml:space="preserve"> to help students understand the programme </w:t>
      </w:r>
      <w:r w:rsidRPr="503DC450">
        <w:rPr>
          <w:rFonts w:ascii="Arial" w:hAnsi="Arial" w:cs="Arial"/>
          <w:sz w:val="22"/>
          <w:szCs w:val="22"/>
        </w:rPr>
        <w:t>structure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Personal Tutors to provide academic and personal </w:t>
      </w:r>
      <w:r w:rsidRPr="503DC450">
        <w:rPr>
          <w:rFonts w:ascii="Arial" w:hAnsi="Arial" w:cs="Arial"/>
          <w:sz w:val="22"/>
          <w:szCs w:val="22"/>
        </w:rPr>
        <w:t>support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Placement T</w:t>
      </w:r>
      <w:r w:rsidRPr="503DC450">
        <w:rPr>
          <w:rFonts w:ascii="Arial" w:hAnsi="Arial" w:cs="Arial"/>
          <w:sz w:val="22"/>
          <w:szCs w:val="22"/>
        </w:rPr>
        <w:t xml:space="preserve">utor to give general advice on </w:t>
      </w:r>
      <w:r w:rsidRPr="503DC450">
        <w:rPr>
          <w:rFonts w:ascii="Arial" w:hAnsi="Arial" w:cs="Arial"/>
          <w:sz w:val="22"/>
          <w:szCs w:val="22"/>
        </w:rPr>
        <w:t>placements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Technical support to advise students on IT and the use of </w:t>
      </w:r>
      <w:r w:rsidRPr="503DC450">
        <w:rPr>
          <w:rFonts w:ascii="Arial" w:hAnsi="Arial" w:cs="Arial"/>
          <w:sz w:val="22"/>
          <w:szCs w:val="22"/>
        </w:rPr>
        <w:t>software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A designated </w:t>
      </w:r>
      <w:r w:rsidRPr="503DC450">
        <w:rPr>
          <w:rFonts w:ascii="Arial" w:hAnsi="Arial" w:cs="Arial"/>
          <w:sz w:val="22"/>
          <w:szCs w:val="22"/>
        </w:rPr>
        <w:t>Course A</w:t>
      </w:r>
      <w:r w:rsidRPr="503DC450">
        <w:rPr>
          <w:rFonts w:ascii="Arial" w:hAnsi="Arial" w:cs="Arial"/>
          <w:sz w:val="22"/>
          <w:szCs w:val="22"/>
        </w:rPr>
        <w:t>dministrator</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Canvas – a versatile online interactive intranet and learning environment accessible both on and </w:t>
      </w:r>
      <w:r w:rsidRPr="503DC450">
        <w:rPr>
          <w:rFonts w:ascii="Arial" w:hAnsi="Arial" w:cs="Arial"/>
          <w:sz w:val="22"/>
          <w:szCs w:val="22"/>
        </w:rPr>
        <w:t>off-site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LinkedIn Learning</w:t>
      </w:r>
      <w:r w:rsidRPr="503DC450">
        <w:rPr>
          <w:rFonts w:ascii="Arial" w:hAnsi="Arial" w:cs="Arial"/>
          <w:sz w:val="22"/>
          <w:szCs w:val="22"/>
        </w:rPr>
        <w:t xml:space="preserve"> – an online platform offering self-paced software </w:t>
      </w:r>
      <w:r w:rsidRPr="503DC450">
        <w:rPr>
          <w:rFonts w:ascii="Arial" w:hAnsi="Arial" w:cs="Arial"/>
          <w:sz w:val="22"/>
          <w:szCs w:val="22"/>
        </w:rPr>
        <w:t>tutorials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A substantial </w:t>
      </w:r>
      <w:r w:rsidRPr="503DC450">
        <w:rPr>
          <w:rFonts w:ascii="Arial" w:hAnsi="Arial" w:cs="Arial"/>
          <w:sz w:val="22"/>
          <w:szCs w:val="22"/>
        </w:rPr>
        <w:t>Academic</w:t>
      </w:r>
      <w:r w:rsidRPr="503DC450">
        <w:rPr>
          <w:rFonts w:ascii="Arial" w:hAnsi="Arial" w:cs="Arial"/>
          <w:sz w:val="22"/>
          <w:szCs w:val="22"/>
        </w:rPr>
        <w:t xml:space="preserve"> Success Centre that provide</w:t>
      </w:r>
      <w:r w:rsidRPr="503DC450">
        <w:rPr>
          <w:rFonts w:ascii="Arial" w:hAnsi="Arial" w:cs="Arial"/>
          <w:sz w:val="22"/>
          <w:szCs w:val="22"/>
        </w:rPr>
        <w:t>s academic skills support for Undergraduate</w:t>
      </w:r>
      <w:r w:rsidRPr="503DC450">
        <w:rPr>
          <w:rFonts w:ascii="Arial" w:hAnsi="Arial" w:cs="Arial"/>
          <w:sz w:val="22"/>
          <w:szCs w:val="22"/>
        </w:rPr>
        <w:t xml:space="preserve"> and P</w:t>
      </w:r>
      <w:r w:rsidRPr="503DC450">
        <w:rPr>
          <w:rFonts w:ascii="Arial" w:hAnsi="Arial" w:cs="Arial"/>
          <w:sz w:val="22"/>
          <w:szCs w:val="22"/>
        </w:rPr>
        <w:t>ostgraduate</w:t>
      </w:r>
      <w:r w:rsidRPr="503DC450">
        <w:rPr>
          <w:rFonts w:ascii="Arial" w:hAnsi="Arial" w:cs="Arial"/>
          <w:sz w:val="22"/>
          <w:szCs w:val="22"/>
        </w:rPr>
        <w:t xml:space="preserve"> students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A Student Achievement Officer </w:t>
      </w:r>
      <w:r w:rsidRPr="503DC450">
        <w:rPr>
          <w:rFonts w:ascii="Arial" w:hAnsi="Arial" w:cs="Arial"/>
          <w:sz w:val="22"/>
          <w:szCs w:val="22"/>
        </w:rPr>
        <w:t>who provides pastoral support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Support for students with disabilities</w:t>
      </w:r>
      <w:r w:rsidRPr="503DC450">
        <w:rPr>
          <w:rFonts w:ascii="Arial" w:hAnsi="Arial" w:cs="Arial"/>
          <w:sz w:val="22"/>
          <w:szCs w:val="22"/>
        </w:rPr>
        <w:t xml:space="preserve">  </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The Union</w:t>
      </w:r>
      <w:r w:rsidRPr="503DC450">
        <w:rPr>
          <w:rFonts w:ascii="Arial" w:hAnsi="Arial" w:cs="Arial"/>
          <w:sz w:val="22"/>
          <w:szCs w:val="22"/>
        </w:rPr>
        <w:t xml:space="preserve"> of Kingston Students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Careers and Employability Service</w:t>
      </w:r>
      <w:r w:rsidRPr="503DC450">
        <w:rPr>
          <w:rFonts w:ascii="Arial" w:hAnsi="Arial" w:cs="Arial"/>
          <w:sz w:val="22"/>
          <w:szCs w:val="22"/>
        </w:rPr>
        <w:t>s</w:t>
      </w:r>
      <w:r w:rsidRPr="503DC450">
        <w:rPr>
          <w:rFonts w:ascii="Arial" w:hAnsi="Arial" w:cs="Arial"/>
          <w:sz w:val="22"/>
          <w:szCs w:val="22"/>
        </w:rPr>
        <w:t xml:space="preserve"> team who</w:t>
      </w:r>
      <w:r w:rsidRPr="503DC450">
        <w:rPr>
          <w:rFonts w:ascii="Arial" w:hAnsi="Arial" w:cs="Arial"/>
          <w:sz w:val="22"/>
          <w:szCs w:val="22"/>
        </w:rPr>
        <w:t xml:space="preserve"> </w:t>
      </w:r>
      <w:r w:rsidRPr="503DC450">
        <w:rPr>
          <w:rFonts w:ascii="Arial" w:hAnsi="Arial" w:cs="Arial"/>
          <w:sz w:val="22"/>
          <w:szCs w:val="22"/>
        </w:rPr>
        <w:t>will provide support for students prior to undertaking work placement(s).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In </w:t>
      </w:r>
      <w:r w:rsidRPr="503DC450">
        <w:rPr>
          <w:rFonts w:ascii="Arial" w:hAnsi="Arial" w:cs="Arial"/>
          <w:sz w:val="22"/>
          <w:szCs w:val="22"/>
        </w:rPr>
        <w:t>a</w:t>
      </w:r>
      <w:r w:rsidRPr="503DC450">
        <w:rPr>
          <w:rFonts w:ascii="Arial" w:hAnsi="Arial" w:cs="Arial"/>
          <w:sz w:val="22"/>
          <w:szCs w:val="22"/>
        </w:rPr>
        <w:t>d</w:t>
      </w:r>
      <w:r w:rsidRPr="503DC450">
        <w:rPr>
          <w:rFonts w:ascii="Arial" w:hAnsi="Arial" w:cs="Arial"/>
          <w:sz w:val="22"/>
          <w:szCs w:val="22"/>
        </w:rPr>
        <w:t>dition</w:t>
      </w:r>
      <w:r w:rsidRPr="503DC450">
        <w:rPr>
          <w:rFonts w:ascii="Arial" w:hAnsi="Arial" w:cs="Arial"/>
          <w:sz w:val="22"/>
          <w:szCs w:val="22"/>
        </w:rPr>
        <w:t xml:space="preserve"> 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The Studio Structure</w:t>
      </w:r>
    </w:p>
    <w:p w:rsidRPr="503DC450" w:rsidP="00B40E99">
      <w:pPr>
        <w:jc w:val="both"/>
        <w:rPr>
          <w:rFonts w:ascii="Arial" w:hAnsi="Arial" w:cs="Arial"/>
          <w:sz w:val="22"/>
          <w:szCs w:val="22"/>
        </w:rPr>
      </w:pPr>
      <w:r w:rsidRPr="503DC450">
        <w:rPr>
          <w:rFonts w:ascii="Arial" w:hAnsi="Arial" w:cs="Arial"/>
          <w:sz w:val="22"/>
          <w:szCs w:val="22"/>
        </w:rPr>
        <w:t>All courses within the Design School place the studio at the heart of the learning support experience.</w:t>
      </w:r>
      <w:r w:rsidRPr="503DC450">
        <w:rPr>
          <w:rFonts w:ascii="Arial" w:hAnsi="Arial" w:cs="Arial"/>
          <w:sz w:val="22"/>
          <w:szCs w:val="22"/>
        </w:rPr>
        <w:t> </w:t>
      </w:r>
      <w:r w:rsidRPr="503DC450">
        <w:rPr>
          <w:rFonts w:ascii="Arial" w:hAnsi="Arial" w:cs="Arial"/>
          <w:sz w:val="22"/>
          <w:szCs w:val="22"/>
        </w:rPr>
        <w:t>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w:t>
      </w:r>
      <w:r w:rsidRPr="503DC450">
        <w:rPr>
          <w:rFonts w:ascii="Arial" w:hAnsi="Arial" w:cs="Arial"/>
          <w:sz w:val="22"/>
          <w:szCs w:val="22"/>
        </w:rPr>
        <w:t> </w:t>
      </w:r>
      <w:r w:rsidRPr="503DC450">
        <w:rPr>
          <w:rFonts w:ascii="Arial" w:hAnsi="Arial" w:cs="Arial"/>
          <w:sz w:val="22"/>
          <w:szCs w:val="22"/>
        </w:rPr>
        <w:t>The studio provides a natural and readily available environment for peer-to-peer learning and group work. It also accommodates 1:1 contact and individual learning.</w:t>
      </w:r>
      <w:r w:rsidRPr="503DC450">
        <w:rPr>
          <w:rFonts w:ascii="Arial" w:hAnsi="Arial" w:cs="Arial"/>
          <w:sz w:val="22"/>
          <w:szCs w:val="22"/>
        </w:rPr>
        <w:t> </w:t>
      </w:r>
      <w:r w:rsidRPr="503DC450">
        <w:rPr>
          <w:rFonts w:ascii="Arial" w:hAnsi="Arial" w:cs="Arial"/>
          <w:sz w:val="22"/>
          <w:szCs w:val="22"/>
        </w:rPr>
        <w:t xml:space="preserve"> A strategic programme of lectures, seminars and workshops supports the studio learning experience.</w:t>
      </w:r>
    </w:p>
    <w:p w:rsidRPr="503DC450" w:rsidP="00B40E99">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 </w:t>
      </w:r>
      <w:r w:rsidRPr="503DC450">
        <w:rPr>
          <w:rFonts w:ascii="Arial" w:hAnsi="Arial" w:cs="Arial"/>
          <w:b/>
          <w:bCs/>
          <w:sz w:val="22"/>
          <w:szCs w:val="22"/>
        </w:rPr>
        <w:t xml:space="preserve">Workshop Structure </w:t>
      </w:r>
    </w:p>
    <w:p w:rsidRPr="503DC450" w:rsidP="00B40E99">
      <w:pPr>
        <w:jc w:val="both"/>
        <w:rPr>
          <w:rFonts w:ascii="Arial" w:hAnsi="Arial" w:cs="Arial"/>
          <w:sz w:val="22"/>
          <w:szCs w:val="22"/>
        </w:rPr>
      </w:pPr>
      <w:r w:rsidRPr="503DC450">
        <w:rPr>
          <w:rFonts w:ascii="Arial" w:hAnsi="Arial" w:cs="Arial"/>
          <w:sz w:val="22"/>
          <w:szCs w:val="22"/>
        </w:rPr>
        <w:t>The diverse range of Faculty workshop spaces provide</w:t>
      </w:r>
      <w:r w:rsidRPr="503DC450">
        <w:rPr>
          <w:rFonts w:ascii="Arial" w:hAnsi="Arial" w:cs="Arial"/>
          <w:sz w:val="22"/>
          <w:szCs w:val="22"/>
        </w:rPr>
        <w:t>s</w:t>
      </w:r>
      <w:r w:rsidRPr="503DC450">
        <w:rPr>
          <w:rFonts w:ascii="Arial" w:hAnsi="Arial" w:cs="Arial"/>
          <w:sz w:val="22"/>
          <w:szCs w:val="22"/>
        </w:rPr>
        <w:t xml:space="preserve"> an integral resource to support studio learning. They are an extension of the studio space but equipped </w:t>
      </w:r>
      <w:r w:rsidRPr="503DC450">
        <w:rPr>
          <w:rFonts w:ascii="Arial" w:hAnsi="Arial" w:cs="Arial"/>
          <w:sz w:val="22"/>
          <w:szCs w:val="22"/>
        </w:rPr>
        <w:t>with particular, specialist</w:t>
      </w:r>
      <w:r w:rsidRPr="503DC450">
        <w:rPr>
          <w:rFonts w:ascii="Arial" w:hAnsi="Arial" w:cs="Arial"/>
          <w:sz w:val="22"/>
          <w:szCs w:val="22"/>
        </w:rPr>
        <w:t xml:space="preserve"> facilities.</w:t>
      </w: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Staff Structure</w:t>
      </w: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The staff </w:t>
      </w:r>
      <w:r w:rsidRPr="503DC450">
        <w:rPr>
          <w:rFonts w:ascii="Arial" w:hAnsi="Arial" w:cs="Arial"/>
          <w:sz w:val="22"/>
          <w:szCs w:val="22"/>
        </w:rPr>
        <w:t>support structure ma</w:t>
      </w:r>
      <w:r w:rsidRPr="503DC450">
        <w:rPr>
          <w:rFonts w:ascii="Arial" w:hAnsi="Arial" w:cs="Arial"/>
          <w:sz w:val="22"/>
          <w:szCs w:val="22"/>
        </w:rPr>
        <w:t>ps to the studio system.</w:t>
      </w:r>
      <w:r w:rsidRPr="503DC450">
        <w:rPr>
          <w:rFonts w:ascii="Arial" w:hAnsi="Arial" w:cs="Arial"/>
          <w:sz w:val="22"/>
          <w:szCs w:val="22"/>
        </w:rPr>
        <w:t> </w:t>
      </w:r>
      <w:r w:rsidRPr="503DC450">
        <w:rPr>
          <w:rFonts w:ascii="Arial" w:hAnsi="Arial" w:cs="Arial"/>
          <w:sz w:val="22"/>
          <w:szCs w:val="22"/>
        </w:rPr>
        <w:t>Course D</w:t>
      </w:r>
      <w:r w:rsidRPr="503DC450">
        <w:rPr>
          <w:rFonts w:ascii="Arial" w:hAnsi="Arial" w:cs="Arial"/>
          <w:sz w:val="22"/>
          <w:szCs w:val="22"/>
        </w:rPr>
        <w:t xml:space="preserve">irectors coordinate the course and studio space. They are operational figureheads who work together with staff teams and </w:t>
      </w:r>
      <w:r w:rsidRPr="503DC450">
        <w:rPr>
          <w:rFonts w:ascii="Arial" w:hAnsi="Arial" w:cs="Arial"/>
          <w:sz w:val="22"/>
          <w:szCs w:val="22"/>
        </w:rPr>
        <w:t>Hourly Paid Lecturers [</w:t>
      </w:r>
      <w:r w:rsidRPr="503DC450">
        <w:rPr>
          <w:rFonts w:ascii="Arial" w:hAnsi="Arial" w:cs="Arial"/>
          <w:sz w:val="22"/>
          <w:szCs w:val="22"/>
        </w:rPr>
        <w:t>HPLs</w:t>
      </w:r>
      <w:r w:rsidRPr="503DC450">
        <w:rPr>
          <w:rFonts w:ascii="Arial" w:hAnsi="Arial" w:cs="Arial"/>
          <w:sz w:val="22"/>
          <w:szCs w:val="22"/>
        </w:rPr>
        <w:t>]</w:t>
      </w:r>
      <w:r w:rsidRPr="503DC450">
        <w:rPr>
          <w:rFonts w:ascii="Arial" w:hAnsi="Arial" w:cs="Arial"/>
          <w:sz w:val="22"/>
          <w:szCs w:val="22"/>
        </w:rPr>
        <w:t xml:space="preserve"> (incorporating </w:t>
      </w:r>
      <w:r w:rsidRPr="503DC450">
        <w:rPr>
          <w:rFonts w:ascii="Arial" w:hAnsi="Arial" w:cs="Arial"/>
          <w:sz w:val="22"/>
          <w:szCs w:val="22"/>
        </w:rPr>
        <w:t>M</w:t>
      </w:r>
      <w:r w:rsidRPr="503DC450">
        <w:rPr>
          <w:rFonts w:ascii="Arial" w:hAnsi="Arial" w:cs="Arial"/>
          <w:sz w:val="22"/>
          <w:szCs w:val="22"/>
        </w:rPr>
        <w:t xml:space="preserve">odule </w:t>
      </w:r>
      <w:r w:rsidRPr="503DC450">
        <w:rPr>
          <w:rFonts w:ascii="Arial" w:hAnsi="Arial" w:cs="Arial"/>
          <w:sz w:val="22"/>
          <w:szCs w:val="22"/>
        </w:rPr>
        <w:t>L</w:t>
      </w:r>
      <w:r w:rsidRPr="503DC450">
        <w:rPr>
          <w:rFonts w:ascii="Arial" w:hAnsi="Arial" w:cs="Arial"/>
          <w:sz w:val="22"/>
          <w:szCs w:val="22"/>
        </w:rPr>
        <w:t>eaders) to deliver the appropriate learning and teaching experience.</w:t>
      </w:r>
      <w:r w:rsidRPr="503DC450">
        <w:rPr>
          <w:rFonts w:ascii="Arial" w:hAnsi="Arial" w:cs="Arial"/>
          <w:sz w:val="22"/>
          <w:szCs w:val="22"/>
        </w:rPr>
        <w:t> </w:t>
      </w:r>
      <w:r w:rsidRPr="503DC450">
        <w:rPr>
          <w:rFonts w:ascii="Arial" w:hAnsi="Arial" w:cs="Arial"/>
          <w:sz w:val="22"/>
          <w:szCs w:val="22"/>
        </w:rPr>
        <w:t xml:space="preserve">Staff mediate this experience across each stage of the course, moving from an explicit to implicit role in students’ development, enabling </w:t>
      </w:r>
      <w:r w:rsidRPr="503DC450">
        <w:rPr>
          <w:rFonts w:ascii="Arial" w:hAnsi="Arial" w:cs="Arial"/>
          <w:sz w:val="22"/>
          <w:szCs w:val="22"/>
        </w:rPr>
        <w:t>them</w:t>
      </w:r>
      <w:r w:rsidRPr="503DC450">
        <w:rPr>
          <w:rFonts w:ascii="Arial" w:hAnsi="Arial" w:cs="Arial"/>
          <w:sz w:val="22"/>
          <w:szCs w:val="22"/>
        </w:rPr>
        <w:t xml:space="preserve"> to learn how to learn and become more progressively independent. Dedicated technicians provide workshop space learning support in conjunction with the academic staff teams.</w:t>
      </w:r>
    </w:p>
    <w:p w:rsidRPr="503DC450" w:rsidP="00B40E99">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 xml:space="preserve">Infrastructure </w:t>
      </w:r>
    </w:p>
    <w:p w:rsidRPr="503DC450" w:rsidP="00B40E99">
      <w:pPr>
        <w:jc w:val="both"/>
        <w:rPr>
          <w:rFonts w:ascii="Arial" w:hAnsi="Arial" w:cs="Arial"/>
          <w:sz w:val="22"/>
          <w:szCs w:val="22"/>
        </w:rPr>
      </w:pPr>
      <w:r w:rsidRPr="503DC450">
        <w:rPr>
          <w:rFonts w:ascii="Arial" w:hAnsi="Arial" w:cs="Arial"/>
          <w:sz w:val="22"/>
          <w:szCs w:val="22"/>
        </w:rPr>
        <w:t>The School adopts an infrastructure of learning support means beyond the immediacy of academic courses.</w:t>
      </w:r>
      <w:r w:rsidRPr="503DC450">
        <w:rPr>
          <w:rFonts w:ascii="Arial" w:hAnsi="Arial" w:cs="Arial"/>
          <w:sz w:val="22"/>
          <w:szCs w:val="22"/>
        </w:rPr>
        <w:t> </w:t>
      </w:r>
      <w:r w:rsidRPr="503DC450">
        <w:rPr>
          <w:rFonts w:ascii="Arial" w:hAnsi="Arial" w:cs="Arial"/>
          <w:sz w:val="22"/>
          <w:szCs w:val="22"/>
        </w:rPr>
        <w:t>These broadly divide into key mechanisms and enhancement opportunities, including:</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Up-to-date knowledge of relevant University systems and procedures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Student Support Office</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Canvas – a versatile online interactive intranet and learning environment accessible both on and </w:t>
      </w:r>
      <w:r w:rsidRPr="503DC450">
        <w:rPr>
          <w:rFonts w:ascii="Arial" w:hAnsi="Arial" w:cs="Arial"/>
          <w:sz w:val="22"/>
          <w:szCs w:val="22"/>
        </w:rPr>
        <w:t>off-site;</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LinkedIn Learning</w:t>
      </w:r>
      <w:r w:rsidRPr="503DC450">
        <w:rPr>
          <w:rFonts w:ascii="Arial" w:hAnsi="Arial" w:cs="Arial"/>
          <w:sz w:val="22"/>
          <w:szCs w:val="22"/>
        </w:rPr>
        <w:t xml:space="preserve"> – an online platform offering self-paced software </w:t>
      </w:r>
      <w:r w:rsidRPr="503DC450">
        <w:rPr>
          <w:rFonts w:ascii="Arial" w:hAnsi="Arial" w:cs="Arial"/>
          <w:sz w:val="22"/>
          <w:szCs w:val="22"/>
        </w:rPr>
        <w:t>tutorials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NUS (National Union of Students)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Mentoring Scheme</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R</w:t>
      </w:r>
      <w:r w:rsidRPr="503DC450">
        <w:rPr>
          <w:rFonts w:ascii="Arial" w:hAnsi="Arial" w:cs="Arial"/>
          <w:sz w:val="22"/>
          <w:szCs w:val="22"/>
        </w:rPr>
        <w:t>PCL (</w:t>
      </w:r>
      <w:r w:rsidRPr="503DC450">
        <w:rPr>
          <w:rFonts w:ascii="Arial" w:hAnsi="Arial" w:cs="Arial"/>
          <w:sz w:val="22"/>
          <w:szCs w:val="22"/>
        </w:rPr>
        <w:t>Recogni</w:t>
      </w:r>
      <w:r w:rsidRPr="503DC450">
        <w:rPr>
          <w:rFonts w:ascii="Arial" w:hAnsi="Arial" w:cs="Arial"/>
          <w:sz w:val="22"/>
          <w:szCs w:val="22"/>
        </w:rPr>
        <w:t>tion of Prior Certificated Learning)</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R</w:t>
      </w:r>
      <w:r w:rsidRPr="503DC450">
        <w:rPr>
          <w:rFonts w:ascii="Arial" w:hAnsi="Arial" w:cs="Arial"/>
          <w:sz w:val="22"/>
          <w:szCs w:val="22"/>
        </w:rPr>
        <w:t>PEL (</w:t>
      </w:r>
      <w:r w:rsidRPr="503DC450">
        <w:rPr>
          <w:rFonts w:ascii="Arial" w:hAnsi="Arial" w:cs="Arial"/>
          <w:sz w:val="22"/>
          <w:szCs w:val="22"/>
        </w:rPr>
        <w:t>Recogni</w:t>
      </w:r>
      <w:r w:rsidRPr="503DC450">
        <w:rPr>
          <w:rFonts w:ascii="Arial" w:hAnsi="Arial" w:cs="Arial"/>
          <w:sz w:val="22"/>
          <w:szCs w:val="22"/>
        </w:rPr>
        <w:t>tion</w:t>
      </w:r>
      <w:r w:rsidRPr="503DC450">
        <w:rPr>
          <w:rFonts w:ascii="Arial" w:hAnsi="Arial" w:cs="Arial"/>
          <w:sz w:val="22"/>
          <w:szCs w:val="22"/>
        </w:rPr>
        <w:t xml:space="preserve"> of Prior Experiential Learning) processes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P</w:t>
      </w:r>
      <w:r w:rsidRPr="503DC450">
        <w:rPr>
          <w:rFonts w:ascii="Arial" w:hAnsi="Arial" w:cs="Arial"/>
          <w:sz w:val="22"/>
          <w:szCs w:val="22"/>
        </w:rPr>
        <w:t>ostgraduate</w:t>
      </w:r>
      <w:r w:rsidRPr="503DC450">
        <w:rPr>
          <w:rFonts w:ascii="Arial" w:hAnsi="Arial" w:cs="Arial"/>
          <w:sz w:val="22"/>
          <w:szCs w:val="22"/>
        </w:rPr>
        <w:t xml:space="preserve"> Survey</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SSCC (Staff Student Consultative Committee)</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BOS (Board of Study)</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Annual Monitoring</w:t>
      </w:r>
      <w:r w:rsidRPr="503DC450">
        <w:rPr>
          <w:rFonts w:ascii="Arial" w:hAnsi="Arial" w:cs="Arial"/>
          <w:sz w:val="22"/>
          <w:szCs w:val="22"/>
        </w:rPr>
        <w:t xml:space="preserve"> and Enhancement</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Information on Scholarships and Bursaries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Alumni and Graduate Experience</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Coordinating Personal Tutor Scheme</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jc w:val="both"/>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 </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External Examiners</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 xml:space="preserve">Periodic review undertaken at subject </w:t>
      </w:r>
      <w:r w:rsidRPr="503DC450">
        <w:rPr>
          <w:rFonts w:ascii="Arial" w:hAnsi="Arial" w:cs="Arial"/>
          <w:sz w:val="22"/>
          <w:szCs w:val="22"/>
        </w:rPr>
        <w:t>level</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Student evaluation including MEQs</w:t>
      </w:r>
      <w:r w:rsidRPr="503DC450">
        <w:rPr>
          <w:rFonts w:ascii="Arial" w:hAnsi="Arial" w:cs="Arial"/>
          <w:sz w:val="22"/>
          <w:szCs w:val="22"/>
        </w:rPr>
        <w:t xml:space="preserve"> (Module Evaluation Questionnaires) and a Postgraduate Survey</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21"/>
        </w:numPr>
        <w:ind w:left="720" w:right="0" w:hanging="360"/>
        <w:jc w:val="both"/>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Pr="503DC450" w:rsidP="001A372B">
      <w:pPr>
        <w:pStyle w:val="Body1"/>
        <w:jc w:val="both"/>
        <w:rPr>
          <w:rFonts w:ascii="Arial" w:hAnsi="Arial" w:cs="Arial"/>
          <w:sz w:val="22"/>
          <w:szCs w:val="22"/>
        </w:rPr>
      </w:pPr>
      <w:r w:rsidRPr="503DC450">
        <w:rPr>
          <w:rFonts w:ascii="Arial" w:hAnsi="Arial" w:cs="Arial"/>
          <w:sz w:val="22"/>
          <w:szCs w:val="22"/>
        </w:rPr>
        <w:t> </w:t>
      </w:r>
    </w:p>
    <w:p w:rsidRPr="503DC450" w:rsidP="001A372B">
      <w:pPr>
        <w:pStyle w:val="Body1"/>
        <w:jc w:val="both"/>
        <w:rPr>
          <w:rFonts w:ascii="Arial" w:hAnsi="Arial" w:cs="Arial"/>
          <w:sz w:val="22"/>
          <w:szCs w:val="22"/>
        </w:rPr>
      </w:pPr>
      <w:r w:rsidRPr="503DC450">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Pr="503DC450" w:rsidP="001A372B">
      <w:pPr>
        <w:pStyle w:val="Body1"/>
        <w:jc w:val="both"/>
        <w:rPr>
          <w:rFonts w:ascii="Arial" w:hAnsi="Arial" w:cs="Arial"/>
          <w:sz w:val="22"/>
          <w:szCs w:val="22"/>
        </w:rPr>
      </w:pPr>
      <w:r w:rsidRPr="503DC450">
        <w:rPr>
          <w:rFonts w:ascii="Arial" w:hAnsi="Arial" w:cs="Arial"/>
          <w:sz w:val="22"/>
          <w:szCs w:val="22"/>
        </w:rPr>
        <w:t> </w:t>
      </w:r>
    </w:p>
    <w:p w:rsidRPr="503DC450" w:rsidP="001A372B">
      <w:pPr>
        <w:pStyle w:val="Body1"/>
        <w:jc w:val="both"/>
        <w:rPr>
          <w:rFonts w:ascii="Arial" w:hAnsi="Arial" w:cs="Arial"/>
          <w:sz w:val="22"/>
          <w:szCs w:val="22"/>
        </w:rPr>
      </w:pPr>
      <w:r w:rsidRPr="503DC450">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Pr="503DC450" w:rsidP="001A372B">
      <w:pPr>
        <w:jc w:val="both"/>
        <w:rPr>
          <w:rFonts w:ascii="Arial" w:hAnsi="Arial" w:cs="Arial"/>
          <w:sz w:val="22"/>
          <w:szCs w:val="22"/>
        </w:rPr>
      </w:pPr>
      <w:r w:rsidRPr="503DC450">
        <w:rPr>
          <w:rFonts w:ascii="Arial" w:hAnsi="Arial" w:cs="Arial"/>
          <w:b/>
          <w:bCs/>
          <w:sz w:val="22"/>
          <w:szCs w:val="22"/>
        </w:rPr>
        <w:t> </w:t>
      </w:r>
    </w:p>
    <w:p w:rsidRPr="503DC450" w:rsidP="001A372B">
      <w:pPr>
        <w:jc w:val="both"/>
        <w:rPr>
          <w:rFonts w:ascii="Arial" w:hAnsi="Arial" w:cs="Arial"/>
          <w:sz w:val="22"/>
          <w:szCs w:val="22"/>
        </w:rPr>
      </w:pPr>
      <w:r w:rsidRPr="503DC450">
        <w:rPr>
          <w:rFonts w:ascii="Arial" w:hAnsi="Arial" w:cs="Arial"/>
          <w:sz w:val="22"/>
          <w:szCs w:val="22"/>
        </w:rPr>
        <w:t xml:space="preserve">The course and School have strong and well-established links to industry. Modules within the course structure are intended to address the broad nature of Product and </w:t>
      </w:r>
      <w:r w:rsidRPr="503DC450">
        <w:rPr>
          <w:rFonts w:ascii="Arial" w:hAnsi="Arial" w:cs="Arial"/>
          <w:sz w:val="22"/>
          <w:szCs w:val="22"/>
        </w:rPr>
        <w:t xml:space="preserve">Furniture </w:t>
      </w:r>
      <w:r w:rsidRPr="503DC450">
        <w:rPr>
          <w:rFonts w:ascii="Arial" w:hAnsi="Arial" w:cs="Arial"/>
          <w:sz w:val="22"/>
          <w:szCs w:val="22"/>
        </w:rPr>
        <w:t>Design and the emerging global work</w:t>
      </w:r>
      <w:r w:rsidRPr="503DC450">
        <w:rPr>
          <w:rFonts w:ascii="Arial" w:hAnsi="Arial" w:cs="Arial"/>
          <w:sz w:val="22"/>
          <w:szCs w:val="22"/>
        </w:rPr>
        <w:t>place: DE7</w:t>
      </w:r>
      <w:r w:rsidRPr="503DC450">
        <w:rPr>
          <w:rFonts w:ascii="Arial" w:hAnsi="Arial" w:cs="Arial"/>
          <w:sz w:val="22"/>
          <w:szCs w:val="22"/>
        </w:rPr>
        <w:t>301 Creative Futures (TB2), for example.</w:t>
      </w:r>
      <w:r w:rsidRPr="503DC450">
        <w:rPr>
          <w:rFonts w:ascii="Arial" w:hAnsi="Arial" w:cs="Arial"/>
          <w:sz w:val="22"/>
          <w:szCs w:val="22"/>
        </w:rPr>
        <w:t xml:space="preserve">  </w:t>
      </w:r>
      <w:r w:rsidRPr="503DC450">
        <w:rPr>
          <w:rFonts w:ascii="Arial" w:hAnsi="Arial" w:cs="Arial"/>
          <w:sz w:val="22"/>
          <w:szCs w:val="22"/>
        </w:rPr>
        <w:t xml:space="preserve">Where relevant and practical the course works in collaboration with organisations and business – recent projects have been undertaken with the Bauhaus (Dessau), Givaudan, </w:t>
      </w:r>
      <w:r w:rsidRPr="503DC450">
        <w:rPr>
          <w:rFonts w:ascii="Arial" w:hAnsi="Arial" w:cs="Arial"/>
          <w:sz w:val="22"/>
          <w:szCs w:val="22"/>
        </w:rPr>
        <w:t>Incrops</w:t>
      </w:r>
      <w:r w:rsidRPr="503DC450">
        <w:rPr>
          <w:rFonts w:ascii="Arial" w:hAnsi="Arial" w:cs="Arial"/>
          <w:sz w:val="22"/>
          <w:szCs w:val="22"/>
        </w:rPr>
        <w:t xml:space="preserve"> and Alternative Packaging Solutions. Competitions are offered within the delivery of the course as activities intended to provide opportunities for those students who wish to allow an additiona</w:t>
      </w:r>
      <w:r w:rsidRPr="503DC450">
        <w:rPr>
          <w:rFonts w:ascii="Arial" w:hAnsi="Arial" w:cs="Arial"/>
          <w:sz w:val="22"/>
          <w:szCs w:val="22"/>
        </w:rPr>
        <w:t>l focus to their portfolio: DE7</w:t>
      </w:r>
      <w:r w:rsidRPr="503DC450">
        <w:rPr>
          <w:rFonts w:ascii="Arial" w:hAnsi="Arial" w:cs="Arial"/>
          <w:sz w:val="22"/>
          <w:szCs w:val="22"/>
        </w:rPr>
        <w:t xml:space="preserve">301 Creative Futures (TB2). The course also organises a regular programme of professional lectures and studio visits.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Graduates have progressed to the following destinations:</w:t>
      </w:r>
    </w:p>
    <w:p w:rsidRPr="503DC450" w:rsidP="001A372B">
      <w:pPr>
        <w:jc w:val="both"/>
        <w:rPr>
          <w:rFonts w:ascii="Arial" w:hAnsi="Arial" w:cs="Arial"/>
          <w:sz w:val="22"/>
          <w:szCs w:val="22"/>
        </w:rPr>
      </w:pPr>
      <w:r w:rsidRPr="503DC450">
        <w:rPr>
          <w:rFonts w:ascii="Arial" w:hAnsi="Arial" w:cs="Arial"/>
          <w:sz w:val="22"/>
          <w:szCs w:val="22"/>
        </w:rPr>
        <w:t>David Collins Studio</w:t>
      </w:r>
      <w:r w:rsidRPr="503DC450">
        <w:rPr>
          <w:rFonts w:ascii="Arial" w:hAnsi="Arial" w:cs="Arial"/>
          <w:sz w:val="22"/>
          <w:szCs w:val="22"/>
        </w:rPr>
        <w:t xml:space="preserve"> (London)</w:t>
      </w:r>
    </w:p>
    <w:p w:rsidRPr="503DC450" w:rsidP="001A372B">
      <w:pPr>
        <w:jc w:val="both"/>
        <w:rPr>
          <w:rFonts w:ascii="Arial" w:hAnsi="Arial" w:cs="Arial"/>
          <w:sz w:val="22"/>
          <w:szCs w:val="22"/>
        </w:rPr>
      </w:pPr>
      <w:r w:rsidRPr="503DC450">
        <w:rPr>
          <w:rFonts w:ascii="Arial" w:hAnsi="Arial" w:cs="Arial"/>
          <w:sz w:val="22"/>
          <w:szCs w:val="22"/>
        </w:rPr>
        <w:t>Tom Dixon</w:t>
      </w:r>
      <w:r w:rsidRPr="503DC450">
        <w:rPr>
          <w:rFonts w:ascii="Arial" w:hAnsi="Arial" w:cs="Arial"/>
          <w:sz w:val="22"/>
          <w:szCs w:val="22"/>
        </w:rPr>
        <w:t xml:space="preserve"> (London)</w:t>
      </w:r>
    </w:p>
    <w:p w:rsidRPr="503DC450" w:rsidP="001A372B">
      <w:pPr>
        <w:jc w:val="both"/>
        <w:rPr>
          <w:rFonts w:ascii="Arial" w:hAnsi="Arial" w:cs="Arial"/>
          <w:sz w:val="22"/>
          <w:szCs w:val="22"/>
        </w:rPr>
      </w:pPr>
      <w:r w:rsidRPr="503DC450">
        <w:rPr>
          <w:rFonts w:ascii="Arial" w:hAnsi="Arial" w:cs="Arial"/>
          <w:sz w:val="22"/>
          <w:szCs w:val="22"/>
        </w:rPr>
        <w:t>IKEA</w:t>
      </w:r>
      <w:r w:rsidRPr="503DC450">
        <w:rPr>
          <w:rFonts w:ascii="Arial" w:hAnsi="Arial" w:cs="Arial"/>
          <w:sz w:val="22"/>
          <w:szCs w:val="22"/>
        </w:rPr>
        <w:t xml:space="preserve"> (Vienna)</w:t>
      </w:r>
    </w:p>
    <w:p w:rsidRPr="503DC450" w:rsidP="001A372B">
      <w:pPr>
        <w:jc w:val="both"/>
        <w:rPr>
          <w:rFonts w:ascii="Arial" w:hAnsi="Arial" w:cs="Arial"/>
          <w:sz w:val="22"/>
          <w:szCs w:val="22"/>
        </w:rPr>
      </w:pPr>
      <w:r w:rsidRPr="503DC450">
        <w:rPr>
          <w:rFonts w:ascii="Arial" w:hAnsi="Arial" w:cs="Arial"/>
          <w:sz w:val="22"/>
          <w:szCs w:val="22"/>
        </w:rPr>
        <w:t>Samsung</w:t>
      </w:r>
      <w:r w:rsidRPr="503DC450">
        <w:rPr>
          <w:rFonts w:ascii="Arial" w:hAnsi="Arial" w:cs="Arial"/>
          <w:sz w:val="22"/>
          <w:szCs w:val="22"/>
        </w:rPr>
        <w:t xml:space="preserve"> (Seoul)</w:t>
      </w:r>
    </w:p>
    <w:p w:rsidRPr="503DC450" w:rsidP="001A372B">
      <w:pPr>
        <w:jc w:val="both"/>
        <w:rPr>
          <w:rFonts w:ascii="Arial" w:hAnsi="Arial" w:cs="Arial"/>
          <w:sz w:val="22"/>
          <w:szCs w:val="22"/>
        </w:rPr>
      </w:pPr>
      <w:r w:rsidRPr="503DC450">
        <w:rPr>
          <w:rFonts w:ascii="Arial" w:hAnsi="Arial" w:cs="Arial"/>
          <w:sz w:val="22"/>
          <w:szCs w:val="22"/>
        </w:rPr>
        <w:t>Smart Design (Barcelona)</w:t>
      </w:r>
    </w:p>
    <w:p w:rsidRPr="503DC450" w:rsidP="001A372B">
      <w:pPr>
        <w:jc w:val="both"/>
        <w:rPr>
          <w:rFonts w:ascii="Arial" w:hAnsi="Arial" w:cs="Arial"/>
          <w:sz w:val="22"/>
          <w:szCs w:val="22"/>
        </w:rPr>
      </w:pPr>
      <w:r w:rsidRPr="503DC450">
        <w:rPr>
          <w:rFonts w:ascii="Arial" w:hAnsi="Arial" w:cs="Arial"/>
          <w:sz w:val="22"/>
          <w:szCs w:val="22"/>
        </w:rPr>
        <w:t>PenguinCube</w:t>
      </w:r>
      <w:r w:rsidRPr="503DC450">
        <w:rPr>
          <w:rFonts w:ascii="Arial" w:hAnsi="Arial" w:cs="Arial"/>
          <w:sz w:val="22"/>
          <w:szCs w:val="22"/>
        </w:rPr>
        <w:t xml:space="preserve"> (Beirut)</w:t>
      </w:r>
    </w:p>
    <w:p w:rsidRPr="503DC450" w:rsidP="001A372B">
      <w:pPr>
        <w:jc w:val="both"/>
        <w:rPr>
          <w:rFonts w:ascii="Arial" w:hAnsi="Arial" w:cs="Arial"/>
          <w:sz w:val="22"/>
          <w:szCs w:val="22"/>
        </w:rPr>
      </w:pPr>
      <w:r w:rsidRPr="503DC450">
        <w:rPr>
          <w:rFonts w:ascii="Arial" w:hAnsi="Arial" w:cs="Arial"/>
          <w:sz w:val="22"/>
          <w:szCs w:val="22"/>
        </w:rPr>
        <w:t>Serene House (Taipei)</w:t>
      </w:r>
    </w:p>
    <w:p w:rsidRPr="503DC450" w:rsidP="001A372B">
      <w:pPr>
        <w:jc w:val="both"/>
        <w:rPr>
          <w:rFonts w:ascii="Arial" w:hAnsi="Arial" w:cs="Arial"/>
          <w:sz w:val="22"/>
          <w:szCs w:val="22"/>
        </w:rPr>
      </w:pPr>
      <w:r w:rsidRPr="503DC450">
        <w:rPr>
          <w:rFonts w:ascii="Arial" w:hAnsi="Arial" w:cs="Arial"/>
          <w:sz w:val="22"/>
          <w:szCs w:val="22"/>
        </w:rPr>
        <w:t>Breaded Escalope (Vienna)</w:t>
      </w:r>
    </w:p>
    <w:p w:rsidRPr="503DC450" w:rsidP="001A372B">
      <w:pPr>
        <w:jc w:val="both"/>
        <w:rPr>
          <w:rFonts w:ascii="Arial" w:hAnsi="Arial" w:cs="Arial"/>
          <w:sz w:val="22"/>
          <w:szCs w:val="22"/>
        </w:rPr>
      </w:pPr>
      <w:r w:rsidRPr="503DC450">
        <w:rPr>
          <w:rFonts w:ascii="Arial" w:hAnsi="Arial" w:cs="Arial"/>
          <w:sz w:val="22"/>
          <w:szCs w:val="22"/>
        </w:rPr>
        <w:t>Kenyon Yeh (Taipei)</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The 2-</w:t>
      </w:r>
      <w:r w:rsidRPr="503DC450">
        <w:rPr>
          <w:rFonts w:ascii="Arial" w:hAnsi="Arial" w:cs="Arial"/>
          <w:sz w:val="22"/>
          <w:szCs w:val="22"/>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Pr="503DC450">
        <w:rPr>
          <w:rFonts w:ascii="Arial" w:hAnsi="Arial" w:cs="Arial"/>
          <w:sz w:val="22"/>
          <w:szCs w:val="22"/>
        </w:rPr>
        <w:t xml:space="preserve"> by the services of the </w:t>
      </w:r>
      <w:r w:rsidRPr="503DC450">
        <w:rPr>
          <w:rFonts w:ascii="Arial" w:hAnsi="Arial" w:cs="Arial"/>
          <w:sz w:val="22"/>
          <w:szCs w:val="22"/>
        </w:rPr>
        <w:t>Careers and Employability Services</w:t>
      </w:r>
      <w:r w:rsidRPr="503DC450">
        <w:rPr>
          <w:rFonts w:ascii="Arial" w:hAnsi="Arial" w:cs="Arial"/>
          <w:sz w:val="22"/>
          <w:szCs w:val="22"/>
        </w:rPr>
        <w:t xml:space="preserve"> team, providing drop-in and scheduled events to support students in the preparation of CVs, applications, and preparation for interviews and assessment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Work placement is an integral part of the 2</w:t>
      </w:r>
      <w:r w:rsidRPr="503DC450">
        <w:rPr>
          <w:rFonts w:ascii="Arial" w:hAnsi="Arial" w:cs="Arial"/>
          <w:sz w:val="22"/>
          <w:szCs w:val="22"/>
        </w:rPr>
        <w:t>-</w:t>
      </w:r>
      <w:r w:rsidRPr="503DC450">
        <w:rPr>
          <w:rFonts w:ascii="Arial" w:hAnsi="Arial" w:cs="Arial"/>
          <w:sz w:val="22"/>
          <w:szCs w:val="22"/>
        </w:rPr>
        <w:t>year programme and students will receive support</w:t>
      </w:r>
      <w:r w:rsidRPr="503DC450">
        <w:rPr>
          <w:rFonts w:ascii="Arial" w:hAnsi="Arial" w:cs="Arial"/>
          <w:sz w:val="22"/>
          <w:szCs w:val="22"/>
        </w:rPr>
        <w:t xml:space="preserve"> from the award</w:t>
      </w:r>
      <w:r w:rsidRPr="503DC450">
        <w:rPr>
          <w:rFonts w:ascii="Arial" w:hAnsi="Arial" w:cs="Arial"/>
          <w:sz w:val="22"/>
          <w:szCs w:val="22"/>
        </w:rPr>
        <w:t>-</w:t>
      </w:r>
      <w:r w:rsidRPr="503DC450">
        <w:rPr>
          <w:rFonts w:ascii="Arial" w:hAnsi="Arial" w:cs="Arial"/>
          <w:sz w:val="22"/>
          <w:szCs w:val="22"/>
        </w:rPr>
        <w:t xml:space="preserve">winning </w:t>
      </w:r>
      <w:r w:rsidRPr="503DC450">
        <w:rPr>
          <w:rFonts w:ascii="Arial" w:hAnsi="Arial" w:cs="Arial"/>
          <w:sz w:val="22"/>
          <w:szCs w:val="22"/>
        </w:rPr>
        <w:t>Careers and Employability Services</w:t>
      </w:r>
      <w:r w:rsidRPr="503DC450">
        <w:rPr>
          <w:rFonts w:ascii="Arial" w:hAnsi="Arial" w:cs="Arial"/>
          <w:sz w:val="22"/>
          <w:szCs w:val="22"/>
        </w:rPr>
        <w:t xml:space="preserve"> team.</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While it is the responsibility of individual students to secure appr</w:t>
      </w:r>
      <w:r w:rsidRPr="503DC450">
        <w:rPr>
          <w:rFonts w:ascii="Arial" w:hAnsi="Arial" w:cs="Arial"/>
          <w:sz w:val="22"/>
          <w:szCs w:val="22"/>
        </w:rPr>
        <w:t xml:space="preserve">opriate placements, the </w:t>
      </w:r>
      <w:r w:rsidRPr="503DC450">
        <w:rPr>
          <w:rFonts w:ascii="Arial" w:hAnsi="Arial" w:cs="Arial"/>
          <w:sz w:val="22"/>
          <w:szCs w:val="22"/>
        </w:rPr>
        <w:t>Careers and Employability Services</w:t>
      </w:r>
      <w:r w:rsidRPr="503DC450">
        <w:rPr>
          <w:rFonts w:ascii="Arial" w:hAnsi="Arial" w:cs="Arial"/>
          <w:sz w:val="22"/>
          <w:szCs w:val="22"/>
        </w:rPr>
        <w:t xml:space="preserve"> team offer each student support at all stages of the application process, including writing CVs, completing application forms, participating in mock interviews, assessment centre activities and psychometric tests. Sourcing and applying for placement(s) </w:t>
      </w:r>
      <w:r w:rsidRPr="503DC450">
        <w:rPr>
          <w:rFonts w:ascii="Arial" w:hAnsi="Arial" w:cs="Arial"/>
          <w:sz w:val="22"/>
          <w:szCs w:val="22"/>
        </w:rPr>
        <w:t>gives</w:t>
      </w:r>
      <w:r w:rsidRPr="503DC450">
        <w:rPr>
          <w:rFonts w:ascii="Arial" w:hAnsi="Arial" w:cs="Arial"/>
          <w:sz w:val="22"/>
          <w:szCs w:val="22"/>
        </w:rPr>
        <w:t xml:space="preserve"> students the opportunity to experience a competitive job application process.</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sidRPr="503DC450">
        <w:rPr>
          <w:rFonts w:ascii="Arial" w:hAnsi="Arial" w:cs="Arial"/>
          <w:sz w:val="22"/>
          <w:szCs w:val="22"/>
        </w:rPr>
        <w:t xml:space="preserve">be marked as pass/fail.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jc w:val="both"/>
        <w:rPr>
          <w:rFonts w:ascii="Arial" w:hAnsi="Arial" w:cs="Arial"/>
          <w:sz w:val="22"/>
          <w:szCs w:val="22"/>
        </w:rPr>
      </w:pPr>
      <w:r w:rsidRPr="503DC450">
        <w:rPr>
          <w:rFonts w:ascii="Arial" w:hAnsi="Arial" w:cs="Arial"/>
          <w:b/>
          <w:bCs/>
          <w:sz w:val="22"/>
          <w:szCs w:val="22"/>
        </w:rPr>
        <w:t>QAA Master’s Degree Characteristics 2015</w:t>
      </w:r>
    </w:p>
    <w:p w:rsidRPr="503DC450" w:rsidP="00A92C9B">
      <w:pPr>
        <w:rPr>
          <w:rFonts w:ascii="Arial" w:hAnsi="Arial" w:cs="Arial"/>
          <w:sz w:val="22"/>
          <w:szCs w:val="22"/>
        </w:rPr>
      </w:pPr>
      <w:hyperlink r:id="rId12" w:history="1">
        <w:r w:rsidRPr="503DC450">
          <w:rPr>
            <w:rFonts w:ascii="Arial" w:hAnsi="Arial" w:cs="Arial"/>
            <w:sz w:val="22"/>
            <w:szCs w:val="22"/>
            <w:u w:val="single"/>
          </w:rPr>
          <w:t>http://www.qaa.ac.uk/docs/qaa/quality-code/master's-degree-characteristics-statement.pdf?sfvrsn=6ca2f981_10</w:t>
        </w:r>
      </w:hyperlink>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b/>
          <w:bCs/>
          <w:sz w:val="22"/>
          <w:szCs w:val="22"/>
        </w:rPr>
        <w:t>Course page on the University website</w:t>
      </w:r>
    </w:p>
    <w:p w:rsidRPr="503DC450" w:rsidP="00A92C9B">
      <w:pPr>
        <w:rPr>
          <w:rFonts w:ascii="Arial" w:hAnsi="Arial" w:cs="Arial"/>
          <w:sz w:val="22"/>
          <w:szCs w:val="22"/>
        </w:rPr>
      </w:pPr>
      <w:hyperlink r:id="rId13" w:history="1">
        <w:r w:rsidRPr="503DC450">
          <w:rPr>
            <w:rFonts w:ascii="Arial" w:hAnsi="Arial" w:cs="Arial"/>
            <w:sz w:val="22"/>
            <w:szCs w:val="22"/>
            <w:u w:val="single"/>
          </w:rPr>
          <w:t>https://www.kingston.ac.uk/postgraduate-course/product-furniture-design-ma/</w:t>
        </w:r>
      </w:hyperlink>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b/>
          <w:bCs/>
          <w:sz w:val="22"/>
          <w:szCs w:val="22"/>
        </w:rPr>
        <w:t>Social Media / Instagram</w:t>
      </w:r>
    </w:p>
    <w:p w:rsidRPr="503DC450" w:rsidP="00A92C9B">
      <w:pPr>
        <w:rPr>
          <w:rFonts w:ascii="Arial" w:hAnsi="Arial" w:cs="Arial"/>
          <w:sz w:val="22"/>
          <w:szCs w:val="22"/>
        </w:rPr>
      </w:pPr>
      <w:r w:rsidRPr="503DC450">
        <w:rPr>
          <w:rFonts w:ascii="Arial" w:hAnsi="Arial" w:cs="Arial"/>
          <w:sz w:val="22"/>
          <w:szCs w:val="22"/>
        </w:rPr>
        <w:t>Product_furniture_kingston</w:t>
      </w:r>
      <w:r w:rsidRPr="503DC450">
        <w:rPr>
          <w:rFonts w:ascii="Arial" w:hAnsi="Arial" w:cs="Arial"/>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28"/>
        <w:gridCol w:w="784"/>
        <w:gridCol w:w="784"/>
        <w:gridCol w:w="784"/>
        <w:gridCol w:w="784"/>
        <w:gridCol w:w="7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DE7602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DE7603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Spacing">
    <w:name w:val="NoSpacing"/>
    <w:basedOn w:val="Normal"/>
  </w:style>
  <w:style w:type="paragraph" w:customStyle="1" w:styleId="p">
    <w:name w:val="p"/>
    <w:basedOn w:val="Normal"/>
  </w:style>
  <w:style w:type="paragraph" w:customStyle="1" w:styleId="ColorfulList-Accent11">
    <w:name w:val="ColorfulList-Accent11"/>
    <w:basedOn w:val="ListParagraph"/>
  </w:style>
  <w:style w:type="paragraph" w:customStyle="1" w:styleId="Body">
    <w:name w:val="Body"/>
    <w:basedOn w:val="Normal"/>
  </w:style>
  <w:style w:type="paragraph" w:customStyle="1" w:styleId="Bullet">
    <w:name w:val="Bullet"/>
    <w:basedOn w:val="Normal"/>
  </w:style>
  <w:style w:type="paragraph" w:customStyle="1" w:styleId="Body1">
    <w:name w:val="Body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postgraduate-course/product-furniture-design-ma/"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docs/qaa/quality-code/master's-degree-characteristics-statement.pdf?sfvrsn=6ca2f981_10"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FAB7672-E98E-4448-A5C8-9807EAD4D24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