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Animation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10/03/2023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18/08/2023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Design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Illustration Animation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No partner</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Animation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Certificate in Animation</w:t>
            </w:r>
            <w:r>
              <w:br/>
            </w:r>
          </w:p>
          <w:p w:rsidR="72431AC7" w:rsidP="01DA1EA0" w14:paraId="59ABF227" w14:textId="338D9999">
            <w:r w:rsidRPr="01DA1EA0">
              <w:rPr>
                <w:rFonts w:ascii="Arial" w:hAnsi="Arial" w:cs="Arial"/>
                <w:sz w:val="22"/>
                <w:szCs w:val="22"/>
              </w:rPr>
              <w:t>Postgraduate Diploma in Animation</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Animation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br/>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No partner</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2:1 or above honours degree or equivalent qualification in animation or a related subject.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portfolio of work, must accompany application as part of the admissions process.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with relevant experience but not necessarily the qualifications or disciplinary background identified above, and who demonstrate the necessary skills and intellectual achievement needed to undertake the course will also be considered.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TOEFL 88 or equivalent is required for those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QAA Master’s Degree Characteristics 2015 </w:t>
            </w:r>
            <w:hyperlink r:id="rId9" w:history="1">
              <w:r>
                <w:rPr>
                  <w:rStyle w:val="normaltextrun"/>
                  <w:rFonts w:ascii="Arial" w:hAnsi="Arial" w:cs="Arial"/>
                  <w:b/>
                  <w:bCs/>
                  <w:color w:val="000000"/>
                  <w:sz w:val="22"/>
                  <w:szCs w:val="22"/>
                  <w:shd w:val="clear" w:color="auto" w:fill="FFFFFF"/>
                </w:rPr>
                <w:t>http://www.qaa.ac.uk/docs/qaa/quality-code/master's-degree-characteristics-statement.pdf?sfvrsn=6ca2f981_10</w:t>
              </w:r>
            </w:hyperlink>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R="00A92C9B" w:rsidRPr="00BF1022" w:rsidP="0BF386EB" w14:paraId="249D4360" w14:textId="0DC9C3D0">
            <w:pPr>
              <w:rPr>
                <w:rFonts w:ascii="Arial" w:hAnsi="Arial" w:cs="Arial"/>
                <w:i/>
                <w:iCs/>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aims are to:</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Support students to acquire in-depth knowledge and understanding of research contexts, critical debates and historical practices.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Provide an inclusive environment in which to challenge and questions parameters of contemporary animation through discussion with peers and tutors.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to develop the diverse communication skills needed to articulate their ideas and intentions.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Support students in situating their own practice and ambitions by examining the professional, social, and political context in which animation currently operates globally.</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Support students to independently design, undertake and evaluate their own research enquires using robust methodologies.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Facilitate students to situate their individual practice by applying an understanding of theory and ethics to practice-based projects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Support the development of creative and imaginative responses to challenging problem-based projects to produce original outcomes.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to critically reflect upon their own practice and analyse that of other practitioners.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Support students to acquire and apply relevant technical and practice-based research skills and process.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Facilitate an experimental and explorative approach to the production of animation to produce original, ambitious and personally challenging work.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to interpret and translate knowledge or experiences into animation outcomes by considering audience and public impact.</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Support students to develop a range of graduate attributes and skills that will enable them to thrive in a professional environment including working with others and project management.</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2-year programme with integrated placement(s) provides students with an opportunity to further enhance their professional skills within an industrial or commercial workplace/environment.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QAA Master’s Degree Characteristics 2020 and the Frameworks for Higher Education Qualifications of UK Degree-Awarding Bodies (2014), an awareness of the undergraduate QAA Subject Benchmarks for Art and Design and relate to the typical student. 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in-depth knowledge and understanding of contemporary and historical practice, theoretical discourse, ideas, and debates.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Design and undertake informed, sustained, and rigorous research, investigations and/or enquires and critically evaluates their effectiveness.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individual practice-based research methodologies and/or critical making practices.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Challenge and question parameters of contemporary animation discipline and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Apply theoretical understanding, intellectual reasoning, and ethical positioning to an individual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existing animation practice through experimentation and open exploration to produce ambitious and personally challenging work.</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Communicate and articulate critical ideas, reasoning, and intentions effectively and through appropriate visual, written and/or oral presentation skills.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Respond to new and complex problems with individual creativity, imagination, originality, and vision.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Interpret information, narratives, and/or experiences and through animation practice seek out and communicate to diverse audiences.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Develop an understanding of the professional, social, political, and global contexts in which animation operates to situate own practice and future ambitions.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Reflect and analyse own achievements and those of others in personal and professional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attributes and skills required to operate as a professional, including collaboration, self-advocacy, agency, autonomy, effective communication, relationship building, and project management.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Full Time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TB1</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Critical Making for Animation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Reading: Critical Positions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TB2</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Situating Practice for Animation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Presentation: Future Directions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TB3</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Extended Research Project for Animation (60 Credits)</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Part Time Year 1</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TB1</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Critical Making for Animation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TB2</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Presentation: Future Directions (30 Credits)</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Part Time year 2</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TB1</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Reading: Critical Positions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TB2</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Situating Practice for Animation (30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TB3</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Extended Research Project for Animation (60 Credits)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Students exiting the programme with 60 level 7 credits are eligible for the award of PgCert in Animation.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Students exiting the programme with 120 level 7 credits are eligible for the award of PgDip in Animation.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Animation</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Animation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Presentation: Future Directions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IA7003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Reading: Critical Positions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IA7002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Studio: Critical Making for Animation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IA7005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Studio: Extended Research Project for Animation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IA7004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Studio: Situating Practice for Animation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IA7001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 (Design)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WP7001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1,2,3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3</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Students exiting the programme with 60 level 7 credits are eligible for the award of PgCert in Animation.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Students exiting the programme with 120 level 7 credits are eligible for the award of PgDip in Animation. </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Animation With Professional Placement</w:t>
      </w:r>
    </w:p>
    <w:p w:rsidR="008B5CAF" w:rsidRPr="008B5CAF" w:rsidP="008B5CAF"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 xml:space="preserve">The MA Animation programme at Kingston School of Art takes a creative and director-led approach to interdisciplinary moving image production. The programme supports the development of an individual practice informed by a culture that values research and collaboration. Research is seen as integral to the act of critical making through experimentation with theoretical, physical, digital and virtual tools and technologies by embracing a diverse range of multidisciplinary approaches. Collaboration and relationship building is understood as essential to, not only animation practice, but all types of creative production and is developed on the programme through a range of pedagogic approaches including group work, studio culture, co-creation and peer-to-peer feedback. This is supported through a learning and teaching environment that is equitable, inclusive, and convivial.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This course equips students with the skills and attributes to thrive in a professional environment shaped by rapid cultural and technological change by introducing a wide range of interlinked and adaptable technologies and methods including 2D and 3D animation, virtual reality and augmented reality. Play and experimentation are seen as key to developing an individual moving image practice at an advanced level and students are encouraged to build upon existing craft and technical abilities through a process of discovery and invention.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Students will use animation methods to interpret knowledge, stories, ideas and data into adaptable visual and/or experiential outputs. Such skills as translation and interpretation are increasingly valuable in a world that needs animators able to communicate complexity with empathy. The programme is designed to develop creative and innovative practitioners who are equipped with the transferable skills that will allow them to enter the contemporary animation industry as well as allied creative and communication sectors.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Through tutorials, field trips, lectures, seminars, workshops and research projects, students will gain the technical skills, critical tools, knowledge and confidence needed to contribute to the development of the subject and its practice. Students will be asked to examine their own practice and identify existing practice-based research methods, which will then be developed by introducing discipline specific notions of rigour, originality, ethics, positioning and inclusivity. On MA Animation we take a dialogic and discursive approach and there are opportunities to co-construct the curriculum. Modules have been designed and aligned to ensure that students are able to make intellectual links between practice, critical theory and real-world scenarios. In doing so, this programme prioritises the development of an individual practitioner and their creative work.</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There is an emphasis on independent and self-directed learning where students are given autonomy to develop a practice that supports their aspirations and ambitions. Skills in critical reflection and analysis provide students with the tools necessary to make decisions about their practice and learning trajectory. Students are provided with the opportunity to initiate, propose, and realise an Extended Research Project (Capstone Project), typically a film, that is ambitious in scale and scope.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Students are introduced to critical design theory to enable them to position their practice within contemporary and historical design principles, practices, and epistemologies, and in turn to challenge norms and assumptions. We look beyond Eurocentric models of knowledge production to understand new and emerging critical discourses using sustainable, inclusive, socio-political, and postcolonial methods and theories and applying these to a student's individual development as a critical practitioner.</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Students will communicate across boundaries working in interdisciplinary environments with hybrid ways of making and thinking drawn from different disciplines; asking questions about who we should be communicating with and by what means. Real-world scenarios will be examined through collaborative projects that situate students’ creative practice within the contemporary paradigms of precarity and uncertainty, addressing issues such as climate literacy and the future of work, and establishing contexts for practice within the cultural and creative industries and beyond. These projects present students as agents of change, able to act ‘in the world’ to make a positive difference.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 xml:space="preserve">Inclusive Curriculum </w:t>
      </w:r>
    </w:p>
    <w:p w:rsidRPr="503DC450" w:rsidP="007D20BC">
      <w:pPr>
        <w:rPr>
          <w:rFonts w:ascii="Arial" w:hAnsi="Arial" w:cs="Arial"/>
          <w:sz w:val="22"/>
          <w:szCs w:val="22"/>
        </w:rPr>
      </w:pPr>
      <w:r w:rsidRPr="503DC450">
        <w:rPr>
          <w:rFonts w:ascii="Arial" w:hAnsi="Arial" w:cs="Arial"/>
          <w:sz w:val="22"/>
          <w:szCs w:val="22"/>
        </w:rPr>
        <w:t xml:space="preserve">The programme has been designed using the Kingston University Inclusive Curriculum Framework principles. An inclusive curriculum recognises that our students bring with them a diverse set of learning styles, educational experience, and cultural capital, as well as differing levels of confidence and self-esteem. An inclusive curriculum understands that this diversity is a key strength which provides learning opportunities for all our students and staff. It places the student at the heart of the learning process, recognising that inclusivity does not mean treating everyone the same. MA Animation embraces this approach through a peer-led learning, collaborative approach to animation production and discussion groups and seminars. Students will benefit from a variety of different learning and teaching approaches including brief-led project work, workshops that encourage creative experimentation and individual critical reflection. By providing opportunities for students to co-create the curriculum, their individual cultural and contextual knowledge is valued. An elective range of assessment strategies and methods allows students to take responsibility for their own learning. Reading and resources lists include a diverse range of voices with the distinct aim to support our decolonising agenda and include books, films, fiction, articles and websites to support different learning styles. Invited Industry speakers from diverse cultural and social backgrounds reflect the current diversity of students, as well as the contemporary animation industry in a range of geographical locations.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Studio Culture + Critical Making</w:t>
      </w:r>
    </w:p>
    <w:p w:rsidRPr="503DC450" w:rsidP="007D20BC">
      <w:pPr>
        <w:rPr>
          <w:rFonts w:ascii="Arial" w:hAnsi="Arial" w:cs="Arial"/>
          <w:sz w:val="22"/>
          <w:szCs w:val="22"/>
        </w:rPr>
      </w:pPr>
      <w:r w:rsidRPr="503DC450">
        <w:rPr>
          <w:rFonts w:ascii="Arial" w:hAnsi="Arial" w:cs="Arial"/>
          <w:sz w:val="22"/>
          <w:szCs w:val="22"/>
        </w:rPr>
        <w:t xml:space="preserve">The studio is both a physical environment and a design education ethos. The studio provides a readily available environment for peer-to-peer learning and collaboration, whilst also accommodating 1:1 student-tutor contact and individual learning. Supportive communities of practice develop through studio working and the opportunity for informal dialogue.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Kingston School of Art has an established an ethos of </w:t>
      </w:r>
      <w:r w:rsidRPr="503DC450">
        <w:rPr>
          <w:rFonts w:ascii="Arial" w:hAnsi="Arial" w:cs="Arial"/>
          <w:i/>
          <w:iCs/>
          <w:sz w:val="22"/>
          <w:szCs w:val="22"/>
        </w:rPr>
        <w:t>Thinking Through Making</w:t>
      </w:r>
      <w:r w:rsidRPr="503DC450">
        <w:rPr>
          <w:rFonts w:ascii="Arial" w:hAnsi="Arial" w:cs="Arial"/>
          <w:sz w:val="22"/>
          <w:szCs w:val="22"/>
        </w:rPr>
        <w:t>, underpinned by a policy that supports equal access for all students to the 2D and 3D workshops. Students are encouraged to explore new and unfamiliar processes and techniques and use these to experiment and innovate within their own disciplines and individual creative practices.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Learning and Teaching Activities</w:t>
      </w:r>
    </w:p>
    <w:p w:rsidRPr="503DC450" w:rsidP="007D20BC">
      <w:pPr>
        <w:rPr>
          <w:rFonts w:ascii="Arial" w:hAnsi="Arial" w:cs="Arial"/>
          <w:sz w:val="22"/>
          <w:szCs w:val="22"/>
        </w:rPr>
      </w:pPr>
      <w:r w:rsidRPr="503DC450">
        <w:rPr>
          <w:rFonts w:ascii="Arial" w:hAnsi="Arial" w:cs="Arial"/>
          <w:sz w:val="22"/>
          <w:szCs w:val="22"/>
        </w:rPr>
        <w:t>The delivery of modules will be by means of lectures, seminars, workshops, group critique, individual tutorials, demonstration, projects, briefings, study visits, peer learning, independent learning and study skills.</w:t>
      </w:r>
      <w:r w:rsidRPr="503DC450">
        <w:rPr>
          <w:rFonts w:ascii="Arial" w:hAnsi="Arial" w:cs="Arial"/>
          <w:sz w:val="24"/>
          <w:szCs w:val="24"/>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Lectures - A member of staff or invited guest will provide taught input, often followed up by group discussion to ensure a full understanding and to encourage critical analysis of the material.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Seminars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Reviews - On these occasions a group of students and members of staff and, if appropriate, invited guests from industry will discuss the work of one or more students who are present. Group reviews can take place in studio: teaching/work space, or, if appropriate, the work to be discussed might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Tutorials – These are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Demonstration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Study Visits - By definition, a study visit will involve travelling to strategic venues of interest which may vary from visits to galleries and museums,to course specific events such as shows, exhibitions, or visits to industry or sites. They form an essential part of the students’ learning experience as they provide the opportunity to see examples of design and industry in multiple ‘real life’ contexts.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Projects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Capstone Project -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Briefing - A briefing takes place to make known and explain specifics of projects; theme, aims &amp; objectives, learning outcomes, timetable etc.</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Peer Learning – This is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reviews and seminars.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Independent Study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VLE (Virtual Learning Environment) Canvas  is an online environment designed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 Canvas – is used to enhance communication, a sense of community and inter-course discussion and debate.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Work Placement – 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Microsoft Teams.  The placement module will make use of the Virtual Learning Environment (VLE) Canvas for communication and dissemination of information between students and staff as well as making online learning materials available.</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Assessment and Feedback</w:t>
      </w:r>
    </w:p>
    <w:p w:rsidRPr="503DC450" w:rsidP="007D20BC">
      <w:pPr>
        <w:rPr>
          <w:rFonts w:ascii="Arial" w:hAnsi="Arial" w:cs="Arial"/>
          <w:sz w:val="22"/>
          <w:szCs w:val="22"/>
        </w:rPr>
      </w:pPr>
      <w:r w:rsidRPr="503DC450">
        <w:rPr>
          <w:rFonts w:ascii="Arial" w:hAnsi="Arial" w:cs="Arial"/>
          <w:sz w:val="22"/>
          <w:szCs w:val="22"/>
        </w:rPr>
        <w:t>Programme and Module Learning Outcomes have been developed to reflect the four key fields of learning and teaching within art and design as well as referencing the incremental development of a creative project. The four fields are as follows:</w:t>
      </w:r>
    </w:p>
    <w:p w:rsidRPr="503DC450" w:rsidP="007D20BC">
      <w:pPr>
        <w:numPr>
          <w:ilvl w:val="0"/>
          <w:numId w:val="13"/>
        </w:numPr>
        <w:ind w:left="720" w:hanging="360"/>
        <w:jc w:val="left"/>
        <w:rPr>
          <w:rFonts w:ascii="Arial" w:hAnsi="Arial" w:cs="Arial"/>
          <w:sz w:val="22"/>
          <w:szCs w:val="22"/>
        </w:rPr>
      </w:pPr>
      <w:r w:rsidRPr="503DC450">
        <w:rPr>
          <w:rFonts w:ascii="Arial" w:hAnsi="Arial" w:cs="Arial"/>
          <w:sz w:val="22"/>
          <w:szCs w:val="22"/>
        </w:rPr>
        <w:t>Research and Analysis</w:t>
      </w:r>
    </w:p>
    <w:p w:rsidRPr="503DC450" w:rsidP="007D20BC">
      <w:pPr>
        <w:numPr>
          <w:ilvl w:val="0"/>
          <w:numId w:val="13"/>
        </w:numPr>
        <w:ind w:left="720" w:hanging="360"/>
        <w:jc w:val="left"/>
        <w:rPr>
          <w:rFonts w:ascii="Arial" w:hAnsi="Arial" w:cs="Arial"/>
          <w:sz w:val="22"/>
          <w:szCs w:val="22"/>
        </w:rPr>
      </w:pPr>
      <w:r w:rsidRPr="503DC450">
        <w:rPr>
          <w:rFonts w:ascii="Arial" w:hAnsi="Arial" w:cs="Arial"/>
          <w:sz w:val="22"/>
          <w:szCs w:val="22"/>
        </w:rPr>
        <w:t>Experimentation and Practice</w:t>
      </w:r>
    </w:p>
    <w:p w:rsidRPr="503DC450" w:rsidP="007D20BC">
      <w:pPr>
        <w:numPr>
          <w:ilvl w:val="0"/>
          <w:numId w:val="13"/>
        </w:numPr>
        <w:ind w:left="720" w:hanging="360"/>
        <w:jc w:val="left"/>
        <w:rPr>
          <w:rFonts w:ascii="Arial" w:hAnsi="Arial" w:cs="Arial"/>
          <w:sz w:val="22"/>
          <w:szCs w:val="22"/>
        </w:rPr>
      </w:pPr>
      <w:r w:rsidRPr="503DC450">
        <w:rPr>
          <w:rFonts w:ascii="Arial" w:hAnsi="Arial" w:cs="Arial"/>
          <w:sz w:val="22"/>
          <w:szCs w:val="22"/>
        </w:rPr>
        <w:t>Communication and Presentation</w:t>
      </w:r>
    </w:p>
    <w:p w:rsidRPr="503DC450" w:rsidP="007D20BC">
      <w:pPr>
        <w:numPr>
          <w:ilvl w:val="0"/>
          <w:numId w:val="13"/>
        </w:numPr>
        <w:ind w:left="720" w:hanging="360"/>
        <w:jc w:val="left"/>
        <w:rPr>
          <w:rFonts w:ascii="Arial" w:hAnsi="Arial" w:cs="Arial"/>
          <w:sz w:val="22"/>
          <w:szCs w:val="22"/>
        </w:rPr>
      </w:pPr>
      <w:r w:rsidRPr="503DC450">
        <w:rPr>
          <w:rFonts w:ascii="Arial" w:hAnsi="Arial" w:cs="Arial"/>
          <w:sz w:val="22"/>
          <w:szCs w:val="22"/>
        </w:rPr>
        <w:t>Personal and Professional Development.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Each module has 4 learning outcomes with each referencing one of the 4 fields of learning and teaching. The three categories of Programme Learning Outcomes (Knowledge and Understanding, Intellectual skills and Subject Practical Skills) have been cross-referenced with these 4 fields to create a matrix. This supports clarity and ensures that students can clearly identify how the learning within modules builds as they progress through the course in order to achieve the programme learning outcomes.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Students will receive feedback from a variety of sources and in differing formats: tutorials, group discussions, reviews, peer and self-assessments and written formative and summative assessment feedback. Feedback on assessment is an essential part of the learning process. It involves tutors providing informative, developmental, and supportive guidance in relation to the learning outcomes. Students are also responsible for engaging with that feedback to improve skills and performance. A formal formative assessment at a mid-point in each teaching block provides feedback and a grade that is indicative of the student’s progress so far and should be used to help identify strengths and areas for improvement.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At the end of the module the student will have a final review where they present to their peers and tutors (testing work on an audience) and gain verbal feedback. They will also be asked to submit project work for summative assessment. </w:t>
      </w:r>
      <w:r w:rsidRPr="503DC450">
        <w:rPr>
          <w:rFonts w:ascii="Arial" w:hAnsi="Arial" w:cs="Arial"/>
          <w:sz w:val="22"/>
          <w:szCs w:val="22"/>
        </w:rPr>
        <w:t xml:space="preserve">We recognise the inseparability of the maker and their work and therefore take a dialogic approach to summative assessment. A </w:t>
      </w:r>
      <w:r w:rsidRPr="503DC450">
        <w:rPr>
          <w:rFonts w:ascii="Arial" w:hAnsi="Arial" w:cs="Arial"/>
          <w:sz w:val="22"/>
          <w:szCs w:val="22"/>
        </w:rPr>
        <w:t>1:1 student-led presentation of assessable work is followed by a constructive and open discussion between tutor/assessor and student, structured around the assessment rubric. Feedback is discussed, and written feedback documented, and a mark is agreed upon. Students will be supported to develop presentation, oratory, and self-advocacy skills.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 range of assessment methods are used across the modules (e.g. portfolios, practical outcomes and oral and visual presentations) including opportunities to demonstrate learning from group projects. There will also be opportunities for students to select from a choice of assessments that support and enable different and individual approaches to learning.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Graduate Attributes</w:t>
      </w:r>
    </w:p>
    <w:p w:rsidRPr="503DC450" w:rsidP="007D20BC">
      <w:pPr>
        <w:rPr>
          <w:rFonts w:ascii="Arial" w:hAnsi="Arial" w:cs="Arial"/>
          <w:sz w:val="22"/>
          <w:szCs w:val="22"/>
        </w:rPr>
      </w:pPr>
      <w:r w:rsidRPr="503DC450">
        <w:rPr>
          <w:rFonts w:ascii="Arial" w:hAnsi="Arial" w:cs="Arial"/>
          <w:sz w:val="22"/>
          <w:szCs w:val="22"/>
        </w:rPr>
        <w:t>Our graduates have the necessary personal and professional attributes to thrive and make a difference in a rapidly changing international context for the animation industry. The curriculum is designed to support students in developing attributes such as problem solving, reasoning, and emotional intelligence. Through moving image projects students' individual creativity and imagination are developed to enable them to have original ideas and find creative solutions. Group work and collaboration, inherent to animation practice, foster professional skills in effective team working, building networks and project leadership. Independence and autonomy nurtured so that our graduates are resilient and understand the importance of life-long learning. Our graduates are influential in their field, by using their knowledge and skills to practice professionally at an advanced level and their commitment to positively tackle global, commercial and societal challenges.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Personal Tutor Scheme</w:t>
      </w:r>
    </w:p>
    <w:p w:rsidRPr="503DC450" w:rsidP="00B40E99">
      <w:pPr>
        <w:rPr>
          <w:rFonts w:ascii="Arial" w:hAnsi="Arial" w:cs="Arial"/>
          <w:sz w:val="22"/>
          <w:szCs w:val="22"/>
        </w:rPr>
      </w:pPr>
      <w:r w:rsidRPr="503DC450">
        <w:rPr>
          <w:rFonts w:ascii="Arial" w:hAnsi="Arial" w:cs="Arial"/>
          <w:sz w:val="22"/>
          <w:szCs w:val="22"/>
        </w:rPr>
        <w:t xml:space="preserve">The Personal Tutor Scheme (PTS) is embedded in the course and delivered within the Presentation: Future Directions module, with every student allocated a personal tutor when they enrol. The personal tutor is distinct from tutors who teach within the modules and technical support tutors.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xml:space="preserve">The Aims of the Personal Tutor Scheme: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 xml:space="preserve">To provide appropriate academic advice and guidance throughout a student’s studies by monitoring progress and identifying individual needs.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 xml:space="preserve">To provide a holistic overview and guidance for individual study and the development of personal practice.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 xml:space="preserve">To provide a formalised structure for the ongoing process of formative feedback and personal development embedded in studio culture and teaching.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 xml:space="preserve">To help to develop a student’s ability to be self-reliant and reflective and their ability to use feedback/feed forward to best advantage.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xml:space="preserve">Key Features of the Personal Tutor scheme: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 xml:space="preserve">Personal Tutors will be allocated at the beginning of the academic year.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 xml:space="preserve">The introductory welcome tutorial meeting will occur at the beginning of the academic year. Subsequent tutorials will follow and respond to key stages in the academic year.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 xml:space="preserve">Students will keep the same personal tutor throughout their year of study.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 xml:space="preserve">One-to-one meetings will vary in length depending on the profile and needs of individual students.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xml:space="preserve">Under the personal tutor scheme permanent staff will assume this role and their responsibilities will include: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 xml:space="preserve">To help students to make the transition to postgraduate level study and understand how to use feedback and feed forward on the course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 xml:space="preserve">To encourage students to be proactive in making links between their course and their professional and/or academic aspirations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 xml:space="preserve">To explore students’ research aspirations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To help students gain confidence in contributing to, and learning from, constructive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 xml:space="preserve">To encourage students to become part of a wider disciplinary and/or professional community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To help students to prepare for the dynamics of supervision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Student Support</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An academic team who provides support in the studio and through regular weekly drop-in ‘office hours’.</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Personal Tutor to provide academic support and refers students to other support within the university as and when needed</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Placement Tutor to give general advice on placements</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Technical support when working within the KSA workshops</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designated Course Administrator</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 xml:space="preserve">LinkedIn Learning – an online platform offering self-paced software tutorials. Curated sections support students within each module.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substantial Academic Success Centre that provides academic skills support for undergraduate and postgraduate students</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Student Achievement Officer who provides pastoral support</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Disabled student support</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The Union of Kingston Students</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The Careers and Employability Services (CES) provides support for students at every stage of their career planning. They support faculties &amp; programmes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Questionnaires (MEQs), level surveys and the National Student Survey (NSS)</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policies</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color w:val="000000"/>
          <w:sz w:val="22"/>
          <w:szCs w:val="22"/>
        </w:rPr>
        <w:t xml:space="preserve">Holistic personal and professional development is a key aspect of MA Animation. Project-based learning and live briefs in the curriculum support the development of the </w:t>
      </w:r>
      <w:hyperlink r:id="rId12" w:history="1">
        <w:r w:rsidRPr="503DC450">
          <w:rPr>
            <w:rFonts w:ascii="Arial" w:hAnsi="Arial" w:cs="Arial"/>
            <w:color w:val="000000"/>
            <w:sz w:val="22"/>
            <w:szCs w:val="22"/>
            <w:u w:val="single"/>
          </w:rPr>
          <w:t>Future Skills</w:t>
        </w:r>
      </w:hyperlink>
      <w:r w:rsidRPr="503DC450">
        <w:rPr>
          <w:rFonts w:ascii="Arial" w:hAnsi="Arial" w:cs="Arial"/>
          <w:color w:val="000000"/>
          <w:sz w:val="22"/>
          <w:szCs w:val="22"/>
        </w:rPr>
        <w:t xml:space="preserve">. </w:t>
      </w:r>
      <w:r w:rsidRPr="503DC450">
        <w:rPr>
          <w:rFonts w:ascii="Arial" w:hAnsi="Arial" w:cs="Arial"/>
          <w:color w:val="000000"/>
          <w:sz w:val="22"/>
          <w:szCs w:val="22"/>
        </w:rPr>
        <w:t xml:space="preserve">Through collaborations with Careers and Employability all students have access to additional resources to support their development both within and outside teaching hours. All students have access to Career Zone, Handshake, and LinkedIn Learning during their studies, as well as the opportunity to book individual support from dedicated Careers Advisors. Resources and support available spans a wide range of professional ambitions to support students wishing to enter industry, freelance, pursue a non-linear career, develop a portfolio career, and more. </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color w:val="000000"/>
          <w:sz w:val="22"/>
          <w:szCs w:val="22"/>
        </w:rPr>
        <w:t xml:space="preserve">Should students wish to undertake a professional placement year, additional resources will be available to support them in securing an appropriate placement. Sourcing and applying for placement(s) equips students for a competitive job application process. The experience of the work placement period enables students to apply their learning in a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QAA Master’s Degree Characteristics 2015</w:t>
      </w:r>
    </w:p>
    <w:p w:rsidRPr="503DC450" w:rsidP="00A92C9B">
      <w:pPr>
        <w:rPr>
          <w:rFonts w:ascii="Arial" w:hAnsi="Arial" w:cs="Arial"/>
          <w:sz w:val="22"/>
          <w:szCs w:val="22"/>
        </w:rPr>
      </w:pPr>
      <w:hyperlink r:id="rId9" w:history="1">
        <w:r w:rsidRPr="503DC450">
          <w:rPr>
            <w:rFonts w:ascii="Arial" w:hAnsi="Arial" w:cs="Arial"/>
            <w:sz w:val="22"/>
            <w:szCs w:val="22"/>
          </w:rPr>
          <w:t>http://www.qaa.ac.uk/docs/qaa/quality-code/master's-degree-characteristics-statement.pdf?sfvrsn=6ca2f981_10</w:t>
        </w:r>
      </w:hyperlink>
    </w:p>
    <w:p w:rsidRPr="503DC450" w:rsidP="00A92C9B">
      <w:pPr>
        <w:rPr>
          <w:rFonts w:ascii="Arial" w:hAnsi="Arial" w:cs="Arial"/>
          <w:sz w:val="22"/>
          <w:szCs w:val="22"/>
        </w:rPr>
      </w:pPr>
      <w:r w:rsidRPr="503DC450">
        <w:rPr>
          <w:rFonts w:ascii="Arial" w:hAnsi="Arial" w:cs="Arial"/>
          <w:sz w:val="22"/>
          <w:szCs w:val="22"/>
        </w:rPr>
        <w:t>Course pages on the Kingston University website:</w:t>
      </w:r>
    </w:p>
    <w:p w:rsidRPr="503DC450" w:rsidP="00A92C9B">
      <w:pPr>
        <w:rPr>
          <w:rFonts w:ascii="Arial" w:hAnsi="Arial" w:cs="Arial"/>
          <w:sz w:val="22"/>
          <w:szCs w:val="22"/>
        </w:rPr>
      </w:pPr>
      <w:r w:rsidRPr="503DC450">
        <w:rPr>
          <w:rFonts w:ascii="Arial" w:hAnsi="Arial" w:cs="Arial"/>
          <w:sz w:val="22"/>
          <w:szCs w:val="22"/>
        </w:rPr>
        <w:t>MA Animation [link to be added]</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8"/>
        <w:gridCol w:w="316"/>
        <w:gridCol w:w="706"/>
        <w:gridCol w:w="706"/>
        <w:gridCol w:w="706"/>
        <w:gridCol w:w="706"/>
        <w:gridCol w:w="70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IA7005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IA7002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IA7001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IA7003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IA7004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aboutkingstonuniversity/future-skills/"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E175007-FA2D-4C53-BB9C-41B2FE36177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