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Fashion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Teamwork Education Private Limited (Indian Institute of Art and Design), India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Fashion Design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 Fashion Design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Teamwork Education Private Limited (Indian Institute of Art and Design), India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IIAD New Delhi India.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pStyle w:val="NoSpacing"/>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good BA (Hons) degree or equivalent qualification in fashion or a related subject, such as textiles.</w:t>
            </w:r>
          </w:p>
          <w:p w:rsidRPr="2030048C" w:rsidP="2030048C">
            <w:pPr>
              <w:pStyle w:val="Body"/>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relevant experience but not necessarily the qualifications or disciplinary background identified above, or who demonstrate the necessary skills and intellectual achievement needed to undertake the course will also be considered.</w:t>
            </w:r>
          </w:p>
          <w:p w:rsidRPr="2030048C" w:rsidP="2030048C">
            <w:pPr>
              <w:pStyle w:val="Body"/>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pStyle w:val="Body"/>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Students applying for Masters programme may not have IELTS scores but will be eligible if they have a minimum 60% and above in English language or course taught in English language at an </w:t>
            </w:r>
            <w:r w:rsidRPr="2030048C">
              <w:rPr>
                <w:rStyle w:val="normaltextrun"/>
                <w:rFonts w:ascii="Arial" w:eastAsia="Arial" w:hAnsi="Arial" w:cs="Arial"/>
                <w:b w:val="0"/>
                <w:bCs w:val="0"/>
                <w:color w:val="000000"/>
                <w:sz w:val="24"/>
                <w:szCs w:val="24"/>
                <w:shd w:val="clear" w:color="auto" w:fill="FFFFFF"/>
              </w:rPr>
              <w:t>undergraduate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level.</w:t>
            </w:r>
          </w:p>
          <w:p w:rsidRPr="2030048C" w:rsidP="2030048C">
            <w:pPr>
              <w:pStyle w:val="Body"/>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pStyle w:val="Body"/>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Recognition of Prior Learning: applicants with prior qualifications and learning may be exempt from appropriate parts of a course in accordance with the University's policy for the Recognition of Prior Certificated Learning (RPCL) and Recognition of Prior Experiential Learning (RPEL).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a range of careers in the fashion industry.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softHyphen/>
      </w:r>
      <w:r w:rsidRPr="2030048C">
        <w:rPr>
          <w:rStyle w:val="normaltextrun"/>
          <w:rFonts w:ascii="Arial" w:hAnsi="Arial" w:cs="Arial"/>
          <w:color w:val="000000" w:themeColor="text1"/>
          <w:sz w:val="24"/>
          <w:szCs w:val="24"/>
          <w:shd w:val="clear" w:color="auto" w:fill="FFFFFF"/>
        </w:rPr>
        <w:t xml:space="preserve">To encourage students in research methodology, analytical </w:t>
      </w:r>
      <w:r w:rsidRPr="2030048C">
        <w:rPr>
          <w:rStyle w:val="normaltextrun"/>
          <w:rFonts w:ascii="Arial" w:hAnsi="Arial" w:cs="Arial"/>
          <w:color w:val="000000" w:themeColor="text1"/>
          <w:sz w:val="24"/>
          <w:szCs w:val="24"/>
          <w:shd w:val="clear" w:color="auto" w:fill="FFFFFF"/>
        </w:rPr>
        <w:t>skills</w:t>
      </w:r>
      <w:r w:rsidRPr="2030048C">
        <w:rPr>
          <w:rStyle w:val="normaltextrun"/>
          <w:rFonts w:ascii="Arial" w:hAnsi="Arial" w:cs="Arial"/>
          <w:color w:val="000000" w:themeColor="text1"/>
          <w:sz w:val="24"/>
          <w:szCs w:val="24"/>
          <w:shd w:val="clear" w:color="auto" w:fill="FFFFFF"/>
        </w:rPr>
        <w:t xml:space="preserve"> and critical thinking </w:t>
      </w:r>
      <w:r w:rsidRPr="2030048C">
        <w:rPr>
          <w:rStyle w:val="normaltextrun"/>
          <w:rFonts w:ascii="Arial" w:hAnsi="Arial" w:cs="Arial"/>
          <w:color w:val="000000" w:themeColor="text1"/>
          <w:sz w:val="24"/>
          <w:szCs w:val="24"/>
          <w:shd w:val="clear" w:color="auto" w:fill="FFFFFF"/>
        </w:rPr>
        <w:t>to become reflective design practitioners.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explore creative thinkin</w:t>
      </w:r>
      <w:r w:rsidRPr="2030048C">
        <w:rPr>
          <w:rStyle w:val="normaltextrun"/>
          <w:rFonts w:ascii="Arial" w:hAnsi="Arial" w:cs="Arial"/>
          <w:color w:val="000000" w:themeColor="text1"/>
          <w:sz w:val="24"/>
          <w:szCs w:val="24"/>
          <w:shd w:val="clear" w:color="auto" w:fill="FFFFFF"/>
        </w:rPr>
        <w:t>g and understanding of design processes</w:t>
      </w:r>
      <w:r w:rsidRPr="2030048C">
        <w:rPr>
          <w:rStyle w:val="normaltextrun"/>
          <w:rFonts w:ascii="Arial" w:hAnsi="Arial" w:cs="Arial"/>
          <w:color w:val="000000" w:themeColor="text1"/>
          <w:sz w:val="24"/>
          <w:szCs w:val="24"/>
          <w:shd w:val="clear" w:color="auto" w:fill="FFFFFF"/>
        </w:rPr>
        <w:t xml:space="preserve"> in an interdisciplinary design environmen</w:t>
      </w:r>
      <w:r w:rsidRPr="2030048C">
        <w:rPr>
          <w:rStyle w:val="normaltextrun"/>
          <w:rFonts w:ascii="Arial" w:hAnsi="Arial" w:cs="Arial"/>
          <w:color w:val="000000" w:themeColor="text1"/>
          <w:sz w:val="24"/>
          <w:szCs w:val="24"/>
          <w:shd w:val="clear" w:color="auto" w:fill="FFFFFF"/>
        </w:rPr>
        <w:t>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to express their individuality as a designer and prepare students in integrating their unique identity autonomously.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familiarize students to entrepreneurial and professional culture and </w:t>
      </w:r>
      <w:r w:rsidRPr="2030048C">
        <w:rPr>
          <w:rStyle w:val="normaltextrun"/>
          <w:rFonts w:ascii="Arial" w:hAnsi="Arial" w:cs="Arial"/>
          <w:color w:val="000000" w:themeColor="text1"/>
          <w:sz w:val="24"/>
          <w:szCs w:val="24"/>
          <w:shd w:val="clear" w:color="auto" w:fill="FFFFFF"/>
        </w:rPr>
        <w:t>networking.</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keep students abreast with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global design practices, international trends</w:t>
      </w:r>
      <w:r w:rsidRPr="2030048C">
        <w:rPr>
          <w:rStyle w:val="normaltextrun"/>
          <w:rFonts w:ascii="Arial" w:hAnsi="Arial" w:cs="Arial"/>
          <w:color w:val="000000" w:themeColor="text1"/>
          <w:sz w:val="24"/>
          <w:szCs w:val="24"/>
          <w:shd w:val="clear" w:color="auto" w:fill="FFFFFF"/>
        </w:rPr>
        <w:t xml:space="preserve"> etc.</w:t>
      </w:r>
      <w:r w:rsidRPr="2030048C">
        <w:rPr>
          <w:rStyle w:val="normaltextrun"/>
          <w:rFonts w:ascii="Arial" w:hAnsi="Arial" w:cs="Arial"/>
          <w:color w:val="000000" w:themeColor="text1"/>
          <w:sz w:val="24"/>
          <w:szCs w:val="24"/>
          <w:shd w:val="clear" w:color="auto" w:fill="FFFFFF"/>
        </w:rPr>
        <w:t xml:space="preserve"> to enable </w:t>
      </w:r>
      <w:r w:rsidRPr="2030048C">
        <w:rPr>
          <w:rStyle w:val="normaltextrun"/>
          <w:rFonts w:ascii="Arial" w:hAnsi="Arial" w:cs="Arial"/>
          <w:color w:val="000000" w:themeColor="text1"/>
          <w:sz w:val="24"/>
          <w:szCs w:val="24"/>
          <w:shd w:val="clear" w:color="auto" w:fill="FFFFFF"/>
        </w:rPr>
        <w:t xml:space="preserve">transition for </w:t>
      </w:r>
      <w:r w:rsidRPr="2030048C">
        <w:rPr>
          <w:rStyle w:val="normaltextrun"/>
          <w:rFonts w:ascii="Arial" w:hAnsi="Arial" w:cs="Arial"/>
          <w:color w:val="000000" w:themeColor="text1"/>
          <w:sz w:val="24"/>
          <w:szCs w:val="24"/>
          <w:shd w:val="clear" w:color="auto" w:fill="FFFFFF"/>
        </w:rPr>
        <w:t>overseas</w:t>
      </w:r>
      <w:r w:rsidRPr="2030048C">
        <w:rPr>
          <w:rStyle w:val="normaltextrun"/>
          <w:rFonts w:ascii="Arial" w:hAnsi="Arial" w:cs="Arial"/>
          <w:color w:val="000000" w:themeColor="text1"/>
          <w:sz w:val="24"/>
          <w:szCs w:val="24"/>
          <w:shd w:val="clear" w:color="auto" w:fill="FFFFFF"/>
        </w:rPr>
        <w:t xml:space="preserve"> higher design education and employability.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in-depth knowledge of fashion design processes within the framework of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Resolve complexity and contradiction in an intricate and specialist knowledge base using advanced methods and processes of analysis and reflection.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skills (including self-presentation, communication, research and information literacy, numeracy, time-management and project-planning, management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 range of approaches in design in order to justify their specialist fashion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their personal design language to address Fashion processes and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application of creative and analytical skills which are sophisticated and progressive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Practice a critical and reflective approach to their own work in response to the given brief.</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advanced research and critical analysis to  theoretical studies throughout the design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 practical and high-level understanding of a range of methods, materials, processes and technologies appropriate to the exploration of fashion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contemporary and contextual knowledge arising from enquiry of existing fashion wisdom and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advanced individual creativity, vision, personal expression and intellectual faculty sufficient to facilitate high quality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paths of effective communication of Design and understanding via advanced and professional level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advanced aesthetic  skills to produce  an innovative design solution within the given brief / requirement.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Body"/>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Full details of each module will be provided in module descriptors and student module guides</w:t>
      </w:r>
    </w:p>
    <w:p w:rsidRPr="2030048C" w:rsidP="2030048C">
      <w:pPr>
        <w:pStyle w:val="Body"/>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 Design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Design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Context 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Context II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Investigative Design Research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Major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MA Fashion Design Programme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ind w:left="360"/>
        <w:rPr>
          <w:rFonts w:ascii="Arial" w:eastAsia="Arial" w:hAnsi="Arial" w:cs="Arial"/>
          <w:sz w:val="24"/>
          <w:szCs w:val="24"/>
        </w:rPr>
      </w:pPr>
      <w:r w:rsidRPr="2030048C">
        <w:rPr>
          <w:rFonts w:ascii="Arial" w:eastAsia="Arial" w:hAnsi="Arial" w:cs="Arial"/>
          <w:sz w:val="24"/>
          <w:szCs w:val="24"/>
        </w:rPr>
        <w:t>Students are strongly encouraged to develop their own informed and creative approach, taking into account contemporary research, current industry and design practices</w:t>
      </w:r>
      <w:r w:rsidRPr="2030048C">
        <w:rPr>
          <w:rFonts w:ascii="Arial" w:eastAsia="Arial" w:hAnsi="Arial" w:cs="Arial"/>
          <w:sz w:val="24"/>
          <w:szCs w:val="24"/>
        </w:rPr>
        <w:t xml:space="preserve"> which highlights the importance of knowledge of the contemporary and future design context and through awareness of the forces and issues that influence society and industry to meet the needs of present and future generations.</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ind w:left="360"/>
        <w:rPr>
          <w:rFonts w:ascii="Arial" w:eastAsia="Arial" w:hAnsi="Arial" w:cs="Arial"/>
          <w:sz w:val="24"/>
          <w:szCs w:val="24"/>
        </w:rPr>
      </w:pPr>
      <w:r w:rsidRPr="2030048C">
        <w:rPr>
          <w:rFonts w:ascii="Arial" w:eastAsia="Arial" w:hAnsi="Arial" w:cs="Arial"/>
          <w:sz w:val="24"/>
          <w:szCs w:val="24"/>
        </w:rPr>
        <w:t xml:space="preserve">The approach to Teaching, Learning and Assessment within MA Fashion Design is informed and provides an emphasis on key aspects of our approach: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 xml:space="preserve">The encouragement and support of </w:t>
      </w:r>
      <w:r w:rsidRPr="2030048C">
        <w:rPr>
          <w:rFonts w:ascii="Arial" w:eastAsia="Arial" w:hAnsi="Arial" w:cs="Arial"/>
          <w:sz w:val="24"/>
          <w:szCs w:val="24"/>
        </w:rPr>
        <w:t>high quality</w:t>
      </w:r>
      <w:r w:rsidRPr="2030048C">
        <w:rPr>
          <w:rFonts w:ascii="Arial" w:eastAsia="Arial" w:hAnsi="Arial" w:cs="Arial"/>
          <w:sz w:val="24"/>
          <w:szCs w:val="24"/>
        </w:rPr>
        <w:t xml:space="preserve"> teaching informed by research and best practice.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 xml:space="preserve">An environment that will create, test, share and spread knowledge for its own sake.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Those delivering teaching will be engaged in the development of their discipline.</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The course team will enable students to have the choices and the skills needed for fulfilling professional employment.</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A combination of staff and student-lead learning principles have been used in the design of the curriculum and the overarching approach to learning and teaching related to both disciplinary and interdisciplinary</w:t>
      </w:r>
      <w:r w:rsidRPr="2030048C">
        <w:rPr>
          <w:rFonts w:ascii="Arial" w:eastAsia="Arial" w:hAnsi="Arial" w:cs="Arial"/>
          <w:sz w:val="24"/>
          <w:szCs w:val="24"/>
        </w:rPr>
        <w:t xml:space="preserve"> </w:t>
      </w:r>
      <w:r w:rsidRPr="2030048C">
        <w:rPr>
          <w:rFonts w:ascii="Arial" w:eastAsia="Arial" w:hAnsi="Arial" w:cs="Arial"/>
          <w:sz w:val="24"/>
          <w:szCs w:val="24"/>
        </w:rPr>
        <w:t>knowledge.</w:t>
      </w:r>
      <w:r w:rsidRPr="2030048C">
        <w:rPr>
          <w:rFonts w:ascii="Arial" w:eastAsia="Arial" w:hAnsi="Arial" w:cs="Arial"/>
          <w:sz w:val="24"/>
          <w:szCs w:val="24"/>
        </w:rPr>
        <w:t xml:space="preserve">  </w:t>
      </w:r>
      <w:r w:rsidRPr="2030048C">
        <w:rPr>
          <w:rFonts w:ascii="Arial" w:eastAsia="Arial" w:hAnsi="Arial" w:cs="Arial"/>
          <w:sz w:val="24"/>
          <w:szCs w:val="24"/>
        </w:rPr>
        <w:t>The emphasis is on directed and self-directed learning delivered through design projects within modules in a studio environment.</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xml:space="preserve">Studio design projects test the development, application and understanding of knowledge and practical skills in an integrated and holistic way. Project briefs are devised in relation to the aims and outcomes defined in the overall module descriptor and will be available to the student through a module guide. Each project outcome is normally assessed although projects may also have an interim formative review stage to verify progress and provide an opportunity for a student to receive informal feedback.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Teaching and learning methods include:</w:t>
      </w:r>
    </w:p>
    <w:p w:rsidRPr="2030048C" w:rsidP="2030048C">
      <w:pPr>
        <w:numPr>
          <w:ilvl w:val="0"/>
          <w:numId w:val="14"/>
        </w:numPr>
        <w:ind w:left="1146"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 xml:space="preserve">Lectures and Seminars </w:t>
      </w:r>
    </w:p>
    <w:p w:rsidRPr="2030048C" w:rsidP="2030048C">
      <w:pPr>
        <w:numPr>
          <w:ilvl w:val="0"/>
          <w:numId w:val="14"/>
        </w:numPr>
        <w:ind w:left="1146"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Group </w:t>
      </w:r>
      <w:r w:rsidRPr="2030048C">
        <w:rPr>
          <w:rFonts w:ascii="Arial" w:eastAsia="Arial" w:hAnsi="Arial" w:cs="Arial"/>
          <w:sz w:val="24"/>
          <w:szCs w:val="24"/>
        </w:rPr>
        <w:t>Tutorials</w:t>
      </w:r>
    </w:p>
    <w:p w:rsidRPr="2030048C" w:rsidP="2030048C">
      <w:pPr>
        <w:numPr>
          <w:ilvl w:val="0"/>
          <w:numId w:val="14"/>
        </w:numPr>
        <w:ind w:left="1146"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Technical </w:t>
      </w:r>
      <w:r w:rsidRPr="2030048C">
        <w:rPr>
          <w:rFonts w:ascii="Arial" w:eastAsia="Arial" w:hAnsi="Arial" w:cs="Arial"/>
          <w:sz w:val="24"/>
          <w:szCs w:val="24"/>
        </w:rPr>
        <w:t>Workshops</w:t>
      </w:r>
    </w:p>
    <w:p w:rsidRPr="2030048C" w:rsidP="2030048C">
      <w:pPr>
        <w:numPr>
          <w:ilvl w:val="0"/>
          <w:numId w:val="14"/>
        </w:numPr>
        <w:ind w:left="1146"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Self-directed study</w:t>
      </w:r>
    </w:p>
    <w:p w:rsidRPr="2030048C" w:rsidP="2030048C">
      <w:pPr>
        <w:numPr>
          <w:ilvl w:val="0"/>
          <w:numId w:val="14"/>
        </w:numPr>
        <w:ind w:left="1146"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Reviews</w:t>
      </w:r>
      <w:r w:rsidRPr="2030048C">
        <w:rPr>
          <w:rFonts w:ascii="Arial" w:eastAsia="Arial" w:hAnsi="Arial" w:cs="Arial"/>
          <w:sz w:val="24"/>
          <w:szCs w:val="24"/>
        </w:rPr>
        <w:t>/Presentations</w:t>
      </w:r>
    </w:p>
    <w:p w:rsidRPr="2030048C" w:rsidP="2030048C">
      <w:pPr>
        <w:numPr>
          <w:ilvl w:val="0"/>
          <w:numId w:val="14"/>
        </w:numPr>
        <w:ind w:left="1146"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Study visits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Although the major teaching and learning components of the course are the design projects, a range of other activities aim to make the learning process a rich and rewarding experience.</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The studio environment</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xml:space="preserve">Studio teaching and learning is the central strategy.  </w:t>
      </w:r>
      <w:r w:rsidRPr="2030048C">
        <w:rPr>
          <w:rFonts w:ascii="Arial" w:eastAsia="Arial" w:hAnsi="Arial" w:cs="Arial"/>
          <w:sz w:val="24"/>
          <w:szCs w:val="24"/>
        </w:rPr>
        <w:t>It provides a focus for activities throughout the course, including design projects, group and individ</w:t>
      </w:r>
      <w:r w:rsidRPr="2030048C">
        <w:rPr>
          <w:rFonts w:ascii="Arial" w:eastAsia="Arial" w:hAnsi="Arial" w:cs="Arial"/>
          <w:sz w:val="24"/>
          <w:szCs w:val="24"/>
        </w:rPr>
        <w:t>ual tutorials, reviews</w:t>
      </w:r>
      <w:r w:rsidRPr="2030048C">
        <w:rPr>
          <w:rFonts w:ascii="Arial" w:eastAsia="Arial" w:hAnsi="Arial" w:cs="Arial"/>
          <w:sz w:val="24"/>
          <w:szCs w:val="24"/>
        </w:rPr>
        <w:t>, work reviews and seminars.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Studio-related work can take place outside the physical studio environment (eg in lectures, workshops or on location), though the studio itself is the primary place for informal peer-assisted learning.</w:t>
      </w:r>
      <w:r w:rsidRPr="2030048C">
        <w:rPr>
          <w:rFonts w:ascii="Arial" w:eastAsia="Arial" w:hAnsi="Arial" w:cs="Arial"/>
          <w:sz w:val="24"/>
          <w:szCs w:val="24"/>
        </w:rPr>
        <w:t xml:space="preserve">  </w:t>
      </w:r>
      <w:r w:rsidRPr="2030048C">
        <w:rPr>
          <w:rFonts w:ascii="Arial" w:eastAsia="Arial" w:hAnsi="Arial" w:cs="Arial"/>
          <w:sz w:val="24"/>
          <w:szCs w:val="24"/>
        </w:rPr>
        <w:t>The course studio operates on a flexible system and is combined with an area for group discussion.</w:t>
      </w:r>
      <w:r w:rsidRPr="2030048C">
        <w:rPr>
          <w:rFonts w:ascii="Arial" w:eastAsia="Arial" w:hAnsi="Arial" w:cs="Arial"/>
          <w:sz w:val="24"/>
          <w:szCs w:val="24"/>
        </w:rPr>
        <w:t xml:space="preserve">  </w:t>
      </w:r>
      <w:r w:rsidRPr="2030048C">
        <w:rPr>
          <w:rFonts w:ascii="Arial" w:eastAsia="Arial" w:hAnsi="Arial" w:cs="Arial"/>
          <w:sz w:val="24"/>
          <w:szCs w:val="24"/>
        </w:rPr>
        <w:t>Additional rooms may be booked for gr</w:t>
      </w:r>
      <w:r w:rsidRPr="2030048C">
        <w:rPr>
          <w:rFonts w:ascii="Arial" w:eastAsia="Arial" w:hAnsi="Arial" w:cs="Arial"/>
          <w:sz w:val="24"/>
          <w:szCs w:val="24"/>
        </w:rPr>
        <w:t>oup review, seminars and lectures</w:t>
      </w:r>
      <w:r w:rsidRPr="2030048C">
        <w:rPr>
          <w:rFonts w:ascii="Arial" w:eastAsia="Arial" w:hAnsi="Arial" w:cs="Arial"/>
          <w:sz w:val="24"/>
          <w:szCs w:val="24"/>
        </w:rPr>
        <w:t>, photography studio and digital media studios.</w:t>
      </w:r>
      <w:r w:rsidRPr="2030048C">
        <w:rPr>
          <w:rFonts w:ascii="Arial" w:eastAsia="Arial" w:hAnsi="Arial" w:cs="Arial"/>
          <w:sz w:val="24"/>
          <w:szCs w:val="24"/>
        </w:rPr>
        <w:t xml:space="preserv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Lectures</w:t>
      </w:r>
      <w:r w:rsidRPr="2030048C">
        <w:rPr>
          <w:rFonts w:ascii="Arial" w:eastAsia="Arial" w:hAnsi="Arial" w:cs="Arial"/>
          <w:i/>
          <w:iCs/>
          <w:sz w:val="24"/>
          <w:szCs w:val="24"/>
        </w:rPr>
        <w:t xml:space="preserv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A member of staff or invited guest will provide taught input, often followed up by group discussion to ensure a full understanding and to encourage critical analysis of the material.</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Seminars</w:t>
      </w:r>
      <w:r w:rsidRPr="2030048C">
        <w:rPr>
          <w:rFonts w:ascii="Arial" w:eastAsia="Arial" w:hAnsi="Arial" w:cs="Arial"/>
          <w:sz w:val="24"/>
          <w:szCs w:val="24"/>
        </w:rPr>
        <w:t xml:space="preserv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Tutorials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xml:space="preserve">Teaching is structured in relation to the project timetable, with tutors from a mix of backgrounds (professional practice, academic, industry).  </w:t>
      </w:r>
      <w:r w:rsidRPr="2030048C">
        <w:rPr>
          <w:rFonts w:ascii="Arial" w:eastAsia="Arial" w:hAnsi="Arial" w:cs="Arial"/>
          <w:sz w:val="24"/>
          <w:szCs w:val="24"/>
        </w:rPr>
        <w:t>Staff teams and visiting lecturers specific to the fashion industry are selected to deliver specific briefs according to their disciplines.</w:t>
      </w:r>
      <w:r w:rsidRPr="2030048C">
        <w:rPr>
          <w:rFonts w:ascii="Arial" w:eastAsia="Arial" w:hAnsi="Arial" w:cs="Arial"/>
          <w:sz w:val="24"/>
          <w:szCs w:val="24"/>
        </w:rPr>
        <w:t xml:space="preserve">  </w:t>
      </w:r>
      <w:r w:rsidRPr="2030048C">
        <w:rPr>
          <w:rFonts w:ascii="Arial" w:eastAsia="Arial" w:hAnsi="Arial" w:cs="Arial"/>
          <w:sz w:val="24"/>
          <w:szCs w:val="24"/>
        </w:rPr>
        <w:t>The members of the teaching team are responsible for carrying out the studio tutorials, either in small groups or individually, and on a one-to-one basis where particular individual support is needed.</w:t>
      </w:r>
      <w:r w:rsidRPr="2030048C">
        <w:rPr>
          <w:rFonts w:ascii="Arial" w:eastAsia="Arial" w:hAnsi="Arial" w:cs="Arial"/>
          <w:sz w:val="24"/>
          <w:szCs w:val="24"/>
        </w:rPr>
        <w:t xml:space="preserve">  </w:t>
      </w:r>
      <w:r w:rsidRPr="2030048C">
        <w:rPr>
          <w:rFonts w:ascii="Arial" w:eastAsia="Arial" w:hAnsi="Arial" w:cs="Arial"/>
          <w:sz w:val="24"/>
          <w:szCs w:val="24"/>
        </w:rPr>
        <w:t>Tutorials also provide opportunities for formative assessment where students receive feedback on completed work and feed forward on work in progress.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Workshop</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xml:space="preserve">Students are provided with induction courses dealing with research and advising them how to access a range of resources, including the LRC, digital media </w:t>
      </w:r>
      <w:r w:rsidRPr="2030048C">
        <w:rPr>
          <w:rFonts w:ascii="Arial" w:eastAsia="Arial" w:hAnsi="Arial" w:cs="Arial"/>
          <w:sz w:val="24"/>
          <w:szCs w:val="24"/>
        </w:rPr>
        <w:t>studio</w:t>
      </w:r>
      <w:r w:rsidRPr="2030048C">
        <w:rPr>
          <w:rFonts w:ascii="Arial" w:eastAsia="Arial" w:hAnsi="Arial" w:cs="Arial"/>
          <w:sz w:val="24"/>
          <w:szCs w:val="24"/>
        </w:rPr>
        <w:t>, as well as traditional 3D workshops.</w:t>
      </w:r>
      <w:r w:rsidRPr="2030048C">
        <w:rPr>
          <w:rFonts w:ascii="Arial" w:eastAsia="Arial" w:hAnsi="Arial" w:cs="Arial"/>
          <w:color w:val="FF0000"/>
          <w:sz w:val="24"/>
          <w:szCs w:val="24"/>
        </w:rPr>
        <w:t xml:space="preserv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Self-Directed Study</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xml:space="preserve">A large and important element of the students’ learning is self-directed.  </w:t>
      </w:r>
      <w:r w:rsidRPr="2030048C">
        <w:rPr>
          <w:rFonts w:ascii="Arial" w:eastAsia="Arial" w:hAnsi="Arial" w:cs="Arial"/>
          <w:sz w:val="24"/>
          <w:szCs w:val="24"/>
        </w:rPr>
        <w:t>This enables students to reflect and develop as an individual in a time/frame that is suitable to their needs.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Group work and interdisciplinary collaborations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Students are able to establish working contact with others as</w:t>
      </w:r>
      <w:r w:rsidRPr="2030048C">
        <w:rPr>
          <w:rFonts w:ascii="Arial" w:eastAsia="Arial" w:hAnsi="Arial" w:cs="Arial"/>
          <w:sz w:val="24"/>
          <w:szCs w:val="24"/>
        </w:rPr>
        <w:t xml:space="preserve"> projects are designed to enable collaboration. Groups will be led by cross discipline practitioners from the School and/or faculty and external experts.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Review</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The  </w:t>
      </w:r>
      <w:r w:rsidRPr="2030048C">
        <w:rPr>
          <w:rFonts w:ascii="Arial" w:eastAsia="Arial" w:hAnsi="Arial" w:cs="Arial"/>
          <w:sz w:val="24"/>
          <w:szCs w:val="24"/>
        </w:rPr>
        <w:t>work</w:t>
      </w:r>
      <w:r w:rsidRPr="2030048C">
        <w:rPr>
          <w:rFonts w:ascii="Arial" w:eastAsia="Arial" w:hAnsi="Arial" w:cs="Arial"/>
          <w:sz w:val="24"/>
          <w:szCs w:val="24"/>
        </w:rPr>
        <w:t xml:space="preserve"> review of the project/s is a fundamental part of the learning strategy. Students are required to make visual and/or written presentations of their work to peers and staff in response to a defined brief. Communication skills (including the ability to engage in positive discussion) are fundamental to the process.</w:t>
      </w:r>
      <w:r w:rsidRPr="2030048C">
        <w:rPr>
          <w:rFonts w:ascii="Arial" w:eastAsia="Arial" w:hAnsi="Arial" w:cs="Arial"/>
          <w:sz w:val="24"/>
          <w:szCs w:val="24"/>
        </w:rPr>
        <w:t xml:space="preserve">  </w:t>
      </w:r>
      <w:r w:rsidRPr="2030048C">
        <w:rPr>
          <w:rFonts w:ascii="Arial" w:eastAsia="Arial" w:hAnsi="Arial" w:cs="Arial"/>
          <w:sz w:val="24"/>
          <w:szCs w:val="24"/>
        </w:rPr>
        <w:t>Formative oral feedback is given during the course of the critique and is normally followed by a summative assessment of their final submission.</w:t>
      </w:r>
      <w:r w:rsidRPr="2030048C">
        <w:rPr>
          <w:rFonts w:ascii="Arial" w:eastAsia="Arial" w:hAnsi="Arial" w:cs="Arial"/>
          <w:sz w:val="24"/>
          <w:szCs w:val="24"/>
        </w:rPr>
        <w:t xml:space="preserv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Mentoring</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 xml:space="preserve">Projects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 helps students to reflect on the knowledge and skills that they have acquired during their studies and learn how to present them to a wider audience including future employers.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Major Design Project</w:t>
      </w:r>
      <w:r w:rsidRPr="2030048C">
        <w:rPr>
          <w:rFonts w:ascii="Arial" w:eastAsia="Arial" w:hAnsi="Arial" w:cs="Arial"/>
          <w:sz w:val="24"/>
          <w:szCs w:val="24"/>
        </w:rPr>
        <w:t xml:space="preserv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A Major Design project or the Graduate Project is designed to be a culminating educational experience for students. It aims to summarise and synthesise all or part of a student’s academic career at the university. Capstone projects help students to reflect on the knowledge and skills that they have acquired during their degree and learn how to present them to a wider audience including fut</w:t>
      </w:r>
      <w:r w:rsidRPr="2030048C">
        <w:rPr>
          <w:rFonts w:ascii="Arial" w:eastAsia="Arial" w:hAnsi="Arial" w:cs="Arial"/>
          <w:sz w:val="24"/>
          <w:szCs w:val="24"/>
        </w:rPr>
        <w:t>ure employers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Peer Learning</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reviews</w:t>
      </w:r>
      <w:r w:rsidRPr="2030048C">
        <w:rPr>
          <w:rFonts w:ascii="Arial" w:eastAsia="Arial" w:hAnsi="Arial" w:cs="Arial"/>
          <w:sz w:val="24"/>
          <w:szCs w:val="24"/>
        </w:rPr>
        <w:t xml:space="preserve"> and seminars.</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ind w:left="426"/>
        <w:jc w:val="both"/>
        <w:rPr>
          <w:rFonts w:ascii="Arial" w:eastAsia="Arial" w:hAnsi="Arial" w:cs="Arial"/>
          <w:sz w:val="24"/>
          <w:szCs w:val="24"/>
        </w:rPr>
      </w:pPr>
      <w:r w:rsidRPr="2030048C">
        <w:rPr>
          <w:rFonts w:ascii="Arial" w:eastAsia="Arial" w:hAnsi="Arial" w:cs="Arial"/>
          <w:b/>
          <w:bCs/>
          <w:sz w:val="24"/>
          <w:szCs w:val="24"/>
        </w:rPr>
        <w:t>Study Visits</w:t>
      </w:r>
      <w:r w:rsidRPr="2030048C">
        <w:rPr>
          <w:rFonts w:ascii="Arial" w:eastAsia="Arial" w:hAnsi="Arial" w:cs="Arial"/>
          <w:sz w:val="24"/>
          <w:szCs w:val="24"/>
        </w:rPr>
        <w:t xml:space="preserve"> </w:t>
      </w:r>
    </w:p>
    <w:p w:rsidRPr="2030048C" w:rsidP="2030048C">
      <w:pPr>
        <w:pStyle w:val="Body"/>
        <w:ind w:left="426"/>
        <w:jc w:val="both"/>
        <w:rPr>
          <w:rFonts w:ascii="Arial" w:eastAsia="Arial" w:hAnsi="Arial" w:cs="Arial"/>
          <w:sz w:val="24"/>
          <w:szCs w:val="24"/>
        </w:rPr>
      </w:pPr>
      <w:r w:rsidRPr="2030048C">
        <w:rPr>
          <w:rFonts w:ascii="Arial" w:eastAsia="Arial" w:hAnsi="Arial" w:cs="Arial"/>
          <w:sz w:val="24"/>
          <w:szCs w:val="24"/>
        </w:rPr>
        <w:t>By definition, a study visit will involve travelling to strategic venues of interest which may vary from visits to galleries and museums or to course specific events such as shows, exhibitions, or visits to industry or sites. They form an essential part of the students</w:t>
      </w:r>
      <w:r w:rsidRPr="2030048C">
        <w:rPr>
          <w:rFonts w:ascii="Arial" w:eastAsia="Arial" w:hAnsi="Arial" w:cs="Arial"/>
          <w:color w:val="00B0F0"/>
          <w:sz w:val="24"/>
          <w:szCs w:val="24"/>
        </w:rPr>
        <w:t>’</w:t>
      </w:r>
      <w:r w:rsidRPr="2030048C">
        <w:rPr>
          <w:rFonts w:ascii="Arial" w:eastAsia="Arial" w:hAnsi="Arial" w:cs="Arial"/>
          <w:sz w:val="24"/>
          <w:szCs w:val="24"/>
        </w:rPr>
        <w:t xml:space="preserve"> learning experience as they provide the opportunity to see examples of design and industry in multiple ‘real life’ contexts.</w:t>
      </w:r>
    </w:p>
    <w:p w:rsidRPr="2030048C" w:rsidP="2030048C">
      <w:pPr>
        <w:pStyle w:val="BulletA"/>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A"/>
        <w:ind w:left="425"/>
        <w:jc w:val="both"/>
        <w:rPr>
          <w:rFonts w:ascii="Arial" w:eastAsia="Arial" w:hAnsi="Arial" w:cs="Arial"/>
          <w:sz w:val="24"/>
          <w:szCs w:val="24"/>
        </w:rPr>
      </w:pPr>
      <w:r w:rsidRPr="2030048C">
        <w:rPr>
          <w:rFonts w:ascii="Arial" w:eastAsia="Arial" w:hAnsi="Arial" w:cs="Arial"/>
          <w:b/>
          <w:bCs/>
          <w:sz w:val="24"/>
          <w:szCs w:val="24"/>
        </w:rPr>
        <w:t>Work Placement</w:t>
      </w:r>
    </w:p>
    <w:p w:rsidRPr="2030048C" w:rsidP="2030048C">
      <w:pPr>
        <w:pStyle w:val="BulletA"/>
        <w:ind w:left="425"/>
        <w:jc w:val="both"/>
        <w:rPr>
          <w:rFonts w:ascii="Arial" w:eastAsia="Arial" w:hAnsi="Arial" w:cs="Arial"/>
          <w:sz w:val="24"/>
          <w:szCs w:val="24"/>
        </w:rPr>
      </w:pPr>
      <w:r w:rsidRPr="2030048C">
        <w:rPr>
          <w:rFonts w:ascii="Arial" w:eastAsia="Arial" w:hAnsi="Arial" w:cs="Arial"/>
          <w:sz w:val="24"/>
          <w:szCs w:val="24"/>
        </w:rPr>
        <w:t>The </w:t>
      </w:r>
      <w:r w:rsidRPr="2030048C">
        <w:rPr>
          <w:rFonts w:ascii="Arial" w:eastAsia="Arial" w:hAnsi="Arial" w:cs="Arial"/>
          <w:sz w:val="24"/>
          <w:szCs w:val="24"/>
        </w:rPr>
        <w:t xml:space="preserve">integrated work placement is primarily reliant on independent activity on the part of the student, with some support from their tutor. </w:t>
      </w:r>
      <w:r w:rsidRPr="2030048C">
        <w:rPr>
          <w:rFonts w:ascii="Arial" w:eastAsia="Arial" w:hAnsi="Arial" w:cs="Arial"/>
          <w:sz w:val="24"/>
          <w:szCs w:val="24"/>
        </w:rPr>
        <w:t> </w:t>
      </w:r>
      <w:r w:rsidRPr="2030048C">
        <w:rPr>
          <w:rFonts w:ascii="Arial" w:eastAsia="Arial" w:hAnsi="Arial" w:cs="Arial"/>
          <w:sz w:val="24"/>
          <w:szCs w:val="24"/>
        </w:rPr>
        <w:t xml:space="preserve">During the period of the placement(s) students will be supervised (online) by </w:t>
      </w:r>
      <w:r w:rsidRPr="2030048C">
        <w:rPr>
          <w:rFonts w:ascii="Arial" w:eastAsia="Arial" w:hAnsi="Arial" w:cs="Arial"/>
          <w:sz w:val="24"/>
          <w:szCs w:val="24"/>
        </w:rPr>
        <w:t>the Placement Cell.</w:t>
      </w:r>
      <w:r w:rsidRPr="2030048C">
        <w:rPr>
          <w:rFonts w:ascii="Arial" w:eastAsia="Arial" w:hAnsi="Arial" w:cs="Arial"/>
          <w:sz w:val="24"/>
          <w:szCs w:val="24"/>
        </w:rPr>
        <w:t xml:space="preserve"> Depending on the location of the placement, meetings might take place face-to-face or via platforms such as Skype. Canvas for communication and dissemination of information between students and </w:t>
      </w:r>
      <w:r w:rsidRPr="2030048C">
        <w:rPr>
          <w:rFonts w:ascii="Arial" w:eastAsia="Arial" w:hAnsi="Arial" w:cs="Arial"/>
          <w:sz w:val="24"/>
          <w:szCs w:val="24"/>
        </w:rPr>
        <w:t>Placement.</w:t>
      </w:r>
    </w:p>
    <w:p w:rsidRPr="2030048C" w:rsidP="2030048C">
      <w:pPr>
        <w:pStyle w:val="BulletA"/>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A"/>
        <w:ind w:left="425"/>
        <w:jc w:val="both"/>
        <w:rPr>
          <w:rFonts w:ascii="Arial" w:eastAsia="Arial" w:hAnsi="Arial" w:cs="Arial"/>
          <w:sz w:val="24"/>
          <w:szCs w:val="24"/>
        </w:rPr>
      </w:pPr>
      <w:r w:rsidRPr="2030048C">
        <w:rPr>
          <w:rFonts w:ascii="Arial" w:eastAsia="Arial" w:hAnsi="Arial" w:cs="Arial"/>
          <w:b/>
          <w:bCs/>
          <w:sz w:val="24"/>
          <w:szCs w:val="24"/>
        </w:rPr>
        <w:t>ASSESSMENT</w:t>
      </w:r>
    </w:p>
    <w:p w:rsidRPr="2030048C" w:rsidP="2030048C">
      <w:pPr>
        <w:pStyle w:val="BulletA"/>
        <w:ind w:left="425"/>
        <w:jc w:val="both"/>
        <w:rPr>
          <w:rFonts w:ascii="Arial" w:eastAsia="Arial" w:hAnsi="Arial" w:cs="Arial"/>
          <w:sz w:val="24"/>
          <w:szCs w:val="24"/>
        </w:rPr>
      </w:pPr>
      <w:r w:rsidRPr="2030048C">
        <w:rPr>
          <w:rFonts w:ascii="Arial" w:eastAsia="Arial" w:hAnsi="Arial" w:cs="Arial"/>
          <w:sz w:val="24"/>
          <w:szCs w:val="24"/>
        </w:rPr>
        <w:t xml:space="preserve">Assessment is both summative and formative.  Primarily, summative assessment is intended to identify what has been learned (assessment </w:t>
      </w:r>
      <w:r w:rsidRPr="2030048C">
        <w:rPr>
          <w:rFonts w:ascii="Arial" w:eastAsia="Arial" w:hAnsi="Arial" w:cs="Arial"/>
          <w:sz w:val="24"/>
          <w:szCs w:val="24"/>
          <w:u w:val="single"/>
        </w:rPr>
        <w:t>of</w:t>
      </w:r>
      <w:r w:rsidRPr="2030048C">
        <w:rPr>
          <w:rFonts w:ascii="Arial" w:eastAsia="Arial" w:hAnsi="Arial" w:cs="Arial"/>
          <w:sz w:val="24"/>
          <w:szCs w:val="24"/>
        </w:rPr>
        <w:t xml:space="preserve"> learning) and therefore assessed mark counts towards the module grade awarded.</w:t>
      </w:r>
      <w:r w:rsidRPr="2030048C">
        <w:rPr>
          <w:rFonts w:ascii="Arial" w:eastAsia="Arial" w:hAnsi="Arial" w:cs="Arial"/>
          <w:sz w:val="24"/>
          <w:szCs w:val="24"/>
        </w:rPr>
        <w:t xml:space="preserve">  </w:t>
      </w:r>
      <w:r w:rsidRPr="2030048C">
        <w:rPr>
          <w:rFonts w:ascii="Arial" w:eastAsia="Arial" w:hAnsi="Arial" w:cs="Arial"/>
          <w:sz w:val="24"/>
          <w:szCs w:val="24"/>
        </w:rPr>
        <w:t xml:space="preserve">Formative assessment is intended to help students to learn (assessment </w:t>
      </w:r>
      <w:r w:rsidRPr="2030048C">
        <w:rPr>
          <w:rFonts w:ascii="Arial" w:eastAsia="Arial" w:hAnsi="Arial" w:cs="Arial"/>
          <w:sz w:val="24"/>
          <w:szCs w:val="24"/>
          <w:u w:val="single"/>
        </w:rPr>
        <w:t>for</w:t>
      </w:r>
      <w:r w:rsidRPr="2030048C">
        <w:rPr>
          <w:rFonts w:ascii="Arial" w:eastAsia="Arial" w:hAnsi="Arial" w:cs="Arial"/>
          <w:sz w:val="24"/>
          <w:szCs w:val="24"/>
        </w:rPr>
        <w:t xml:space="preserve"> learning) and provides opportunities for students to identify their strengths and </w:t>
      </w:r>
      <w:r w:rsidRPr="2030048C">
        <w:rPr>
          <w:rFonts w:ascii="Arial" w:eastAsia="Arial" w:hAnsi="Arial" w:cs="Arial"/>
          <w:sz w:val="24"/>
          <w:szCs w:val="24"/>
        </w:rPr>
        <w:t>weaknesses and</w:t>
      </w:r>
      <w:r w:rsidRPr="2030048C">
        <w:rPr>
          <w:rFonts w:ascii="Arial" w:eastAsia="Arial" w:hAnsi="Arial" w:cs="Arial"/>
          <w:sz w:val="24"/>
          <w:szCs w:val="24"/>
        </w:rPr>
        <w:t xml:space="preserve"> focus on areas they need to work on and improve.</w:t>
      </w:r>
      <w:r w:rsidRPr="2030048C">
        <w:rPr>
          <w:rFonts w:ascii="Arial" w:eastAsia="Arial" w:hAnsi="Arial" w:cs="Arial"/>
          <w:sz w:val="24"/>
          <w:szCs w:val="24"/>
        </w:rPr>
        <w:t xml:space="preserve">   </w:t>
      </w:r>
      <w:r w:rsidRPr="2030048C">
        <w:rPr>
          <w:rFonts w:ascii="Arial" w:eastAsia="Arial" w:hAnsi="Arial" w:cs="Arial"/>
          <w:sz w:val="24"/>
          <w:szCs w:val="24"/>
        </w:rPr>
        <w:t>The assessment strategy and criteria are clearly described in every written brief and mapped appropriately to the module learning outcomes.</w:t>
      </w:r>
      <w:r w:rsidRPr="2030048C">
        <w:rPr>
          <w:rFonts w:ascii="Arial" w:eastAsia="Arial" w:hAnsi="Arial" w:cs="Arial"/>
          <w:sz w:val="24"/>
          <w:szCs w:val="24"/>
        </w:rPr>
        <w:t xml:space="preserve">  </w:t>
      </w:r>
      <w:r w:rsidRPr="2030048C">
        <w:rPr>
          <w:rFonts w:ascii="Arial" w:eastAsia="Arial" w:hAnsi="Arial" w:cs="Arial"/>
          <w:sz w:val="24"/>
          <w:szCs w:val="24"/>
        </w:rPr>
        <w:t>The assessment criteria are generally additionally communicated verbally at each project briefing.</w:t>
      </w:r>
    </w:p>
    <w:p w:rsidRPr="2030048C" w:rsidP="2030048C">
      <w:pPr>
        <w:pStyle w:val="BulletA"/>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A"/>
        <w:ind w:left="425"/>
        <w:jc w:val="both"/>
        <w:rPr>
          <w:rFonts w:ascii="Arial" w:eastAsia="Arial" w:hAnsi="Arial" w:cs="Arial"/>
          <w:sz w:val="24"/>
          <w:szCs w:val="24"/>
        </w:rPr>
      </w:pPr>
      <w:r w:rsidRPr="2030048C">
        <w:rPr>
          <w:rFonts w:ascii="Arial" w:eastAsia="Arial" w:hAnsi="Arial" w:cs="Arial"/>
          <w:b/>
          <w:bCs/>
          <w:sz w:val="24"/>
          <w:szCs w:val="24"/>
        </w:rPr>
        <w:t>Modes of Assessment</w:t>
      </w:r>
    </w:p>
    <w:p w:rsidRPr="2030048C" w:rsidP="2030048C">
      <w:pPr>
        <w:pStyle w:val="BulletA"/>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A"/>
        <w:ind w:left="425"/>
        <w:jc w:val="both"/>
        <w:rPr>
          <w:rFonts w:ascii="Arial" w:eastAsia="Arial" w:hAnsi="Arial" w:cs="Arial"/>
          <w:sz w:val="24"/>
          <w:szCs w:val="24"/>
        </w:rPr>
      </w:pPr>
      <w:r w:rsidRPr="2030048C">
        <w:rPr>
          <w:rFonts w:ascii="Arial" w:eastAsia="Arial" w:hAnsi="Arial" w:cs="Arial"/>
          <w:b/>
          <w:bCs/>
          <w:sz w:val="24"/>
          <w:szCs w:val="24"/>
        </w:rPr>
        <w:t>Reflective Log</w:t>
      </w:r>
      <w:r w:rsidRPr="2030048C">
        <w:rPr>
          <w:rStyle w:val="Hyperlink0"/>
          <w:rFonts w:ascii="Arial" w:eastAsia="Arial" w:hAnsi="Arial" w:cs="Arial"/>
          <w:color w:val="000000"/>
          <w:sz w:val="24"/>
          <w:szCs w:val="24"/>
        </w:rPr>
        <w:t xml:space="preserve"> is a thoughtful consideration of an experience, situation or a topic both negative and /or positive, which results in an outcome of an evolved perspective. Reflective thinking and recording it can lead to enhanced the quality of design practice. This also allows the practitioner to revisit the recorded thoughts and evaluate and evidence further change in practice if so relevant/ desired.</w:t>
      </w:r>
    </w:p>
    <w:p w:rsidRPr="2030048C" w:rsidP="2030048C">
      <w:pPr>
        <w:pStyle w:val="BulletA"/>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A"/>
        <w:ind w:left="425"/>
        <w:jc w:val="both"/>
        <w:rPr>
          <w:rFonts w:ascii="Arial" w:eastAsia="Arial" w:hAnsi="Arial" w:cs="Arial"/>
          <w:sz w:val="24"/>
          <w:szCs w:val="24"/>
        </w:rPr>
      </w:pPr>
      <w:r w:rsidRPr="2030048C">
        <w:rPr>
          <w:rFonts w:ascii="Arial" w:eastAsia="Arial" w:hAnsi="Arial" w:cs="Arial"/>
          <w:b/>
          <w:bCs/>
          <w:sz w:val="24"/>
          <w:szCs w:val="24"/>
        </w:rPr>
        <w:t>Research Paper</w:t>
      </w:r>
      <w:r w:rsidRPr="2030048C">
        <w:rPr>
          <w:rStyle w:val="Hyperlink0"/>
          <w:rFonts w:ascii="Arial" w:eastAsia="Arial" w:hAnsi="Arial" w:cs="Arial"/>
          <w:color w:val="000000"/>
          <w:sz w:val="24"/>
          <w:szCs w:val="24"/>
        </w:rPr>
        <w:t xml:space="preserve"> is an expanded essay that represents your own interpretation, evaluation or argument to the chosen topic. When you write an essay you present what you personally know about the subject, make deliberate attempt to share what the experts say about it and then build upon that. In the nutshell it should survey the field of knowledge in order to see the information in an orderly and focused format.</w:t>
      </w:r>
    </w:p>
    <w:p w:rsidRPr="2030048C" w:rsidP="2030048C">
      <w:pPr>
        <w:pStyle w:val="BulletA"/>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A"/>
        <w:ind w:left="425"/>
        <w:jc w:val="both"/>
        <w:rPr>
          <w:rFonts w:ascii="Arial" w:eastAsia="Arial" w:hAnsi="Arial" w:cs="Arial"/>
          <w:sz w:val="24"/>
          <w:szCs w:val="24"/>
        </w:rPr>
      </w:pPr>
      <w:r w:rsidRPr="2030048C">
        <w:rPr>
          <w:rFonts w:ascii="Arial" w:eastAsia="Arial" w:hAnsi="Arial" w:cs="Arial"/>
          <w:b/>
          <w:bCs/>
          <w:sz w:val="24"/>
          <w:szCs w:val="24"/>
        </w:rPr>
        <w:t>Project outcomes</w:t>
      </w:r>
      <w:r w:rsidRPr="2030048C">
        <w:rPr>
          <w:rStyle w:val="Hyperlink0"/>
          <w:rFonts w:ascii="Arial" w:eastAsia="Arial" w:hAnsi="Arial" w:cs="Arial"/>
          <w:color w:val="000000"/>
          <w:sz w:val="24"/>
          <w:szCs w:val="24"/>
        </w:rPr>
        <w:t xml:space="preserve"> are realisations of the course works within the defined project briefs that engages the students with practice design emerging out of research, design development work, making of presentations and portfolio and document its development and improvement. These are formatively assessed with feedback and feed forward provided through cries and project reviews throughout the module/s.</w:t>
      </w:r>
    </w:p>
    <w:p w:rsidRPr="2030048C" w:rsidP="2030048C">
      <w:pPr>
        <w:pStyle w:val="BulletA"/>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A"/>
        <w:ind w:left="425"/>
        <w:jc w:val="both"/>
        <w:rPr>
          <w:rFonts w:ascii="Arial" w:eastAsia="Arial" w:hAnsi="Arial" w:cs="Arial"/>
          <w:sz w:val="24"/>
          <w:szCs w:val="24"/>
        </w:rPr>
      </w:pPr>
      <w:r w:rsidRPr="2030048C">
        <w:rPr>
          <w:rFonts w:ascii="Arial" w:eastAsia="Arial" w:hAnsi="Arial" w:cs="Arial"/>
          <w:b/>
          <w:bCs/>
          <w:sz w:val="24"/>
          <w:szCs w:val="24"/>
        </w:rPr>
        <w:t>Major Design Project</w:t>
      </w:r>
      <w:r w:rsidRPr="2030048C">
        <w:rPr>
          <w:rStyle w:val="Hyperlink0"/>
          <w:rFonts w:ascii="Arial" w:eastAsia="Arial" w:hAnsi="Arial" w:cs="Arial"/>
          <w:color w:val="000000"/>
          <w:sz w:val="24"/>
          <w:szCs w:val="24"/>
        </w:rPr>
        <w:t xml:space="preserve">, being </w:t>
      </w:r>
      <w:r w:rsidRPr="2030048C">
        <w:rPr>
          <w:rStyle w:val="Hyperlink0"/>
          <w:rFonts w:ascii="Arial" w:eastAsia="Arial" w:hAnsi="Arial" w:cs="Arial"/>
          <w:color w:val="000000"/>
          <w:sz w:val="24"/>
          <w:szCs w:val="24"/>
        </w:rPr>
        <w:t>a self-initiated</w:t>
      </w:r>
      <w:r w:rsidRPr="2030048C">
        <w:rPr>
          <w:rStyle w:val="Hyperlink0"/>
          <w:rFonts w:ascii="Arial" w:eastAsia="Arial" w:hAnsi="Arial" w:cs="Arial"/>
          <w:color w:val="000000"/>
          <w:sz w:val="24"/>
          <w:szCs w:val="24"/>
        </w:rPr>
        <w:t xml:space="preserve"> </w:t>
      </w:r>
      <w:r w:rsidRPr="2030048C">
        <w:rPr>
          <w:rStyle w:val="Hyperlink0"/>
          <w:rFonts w:ascii="Arial" w:eastAsia="Arial" w:hAnsi="Arial" w:cs="Arial"/>
          <w:color w:val="000000"/>
          <w:sz w:val="24"/>
          <w:szCs w:val="24"/>
        </w:rPr>
        <w:t>project</w:t>
      </w:r>
      <w:r w:rsidRPr="2030048C">
        <w:rPr>
          <w:rStyle w:val="Hyperlink0"/>
          <w:rFonts w:ascii="Arial" w:eastAsia="Arial" w:hAnsi="Arial" w:cs="Arial"/>
          <w:color w:val="000000"/>
          <w:sz w:val="24"/>
          <w:szCs w:val="24"/>
        </w:rPr>
        <w:t xml:space="preserve"> which is designed to culminate the educational experience of the students, is aimed to summarise and synthesise all or part of the students’ academic career at the university. It helps the students to reflect on the knowledge and skills acquired by the students and present its application to a wider audience including future employers.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Body"/>
        <w:jc w:val="both"/>
        <w:rPr>
          <w:rFonts w:ascii="Arial" w:eastAsia="Arial" w:hAnsi="Arial" w:cs="Arial"/>
          <w:sz w:val="24"/>
          <w:szCs w:val="24"/>
        </w:rPr>
      </w:pPr>
      <w:r w:rsidRPr="2030048C">
        <w:rPr>
          <w:rFonts w:ascii="Arial" w:eastAsia="Arial" w:hAnsi="Arial" w:cs="Arial"/>
          <w:b/>
          <w:bCs/>
          <w:sz w:val="24"/>
          <w:szCs w:val="24"/>
        </w:rPr>
        <w:t>The Personal Tutor Scheme</w:t>
      </w:r>
      <w:r w:rsidRPr="2030048C">
        <w:rPr>
          <w:rFonts w:ascii="Arial" w:eastAsia="Arial" w:hAnsi="Arial" w:cs="Arial"/>
          <w:sz w:val="24"/>
          <w:szCs w:val="24"/>
        </w:rPr>
        <w:t xml:space="preserve">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b/>
          <w:bCs/>
          <w:sz w:val="24"/>
          <w:szCs w:val="24"/>
        </w:rPr>
        <w:t>The</w:t>
      </w:r>
      <w:r w:rsidRPr="2030048C">
        <w:rPr>
          <w:rFonts w:ascii="Arial" w:eastAsia="Arial" w:hAnsi="Arial" w:cs="Arial"/>
          <w:b/>
          <w:bCs/>
          <w:sz w:val="24"/>
          <w:szCs w:val="24"/>
        </w:rPr>
        <w:t> </w:t>
      </w:r>
      <w:r w:rsidRPr="2030048C">
        <w:rPr>
          <w:rFonts w:ascii="Arial" w:eastAsia="Arial" w:hAnsi="Arial" w:cs="Arial"/>
          <w:b/>
          <w:bCs/>
          <w:sz w:val="24"/>
          <w:szCs w:val="24"/>
        </w:rPr>
        <w:t>Aims of the Personal Tutor Scheme</w:t>
      </w:r>
    </w:p>
    <w:p w:rsidRPr="2030048C" w:rsidP="2030048C">
      <w:pPr>
        <w:numPr>
          <w:ilvl w:val="0"/>
          <w:numId w:val="15"/>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To pr</w:t>
      </w:r>
      <w:r w:rsidRPr="2030048C">
        <w:rPr>
          <w:rFonts w:ascii="Arial" w:eastAsia="Arial" w:hAnsi="Arial" w:cs="Arial"/>
          <w:sz w:val="24"/>
          <w:szCs w:val="24"/>
        </w:rPr>
        <w:t>ovide appropriate academic advice and guidance throughout a student’s studies by monitoring progress and identifying individual needs.</w:t>
      </w:r>
    </w:p>
    <w:p w:rsidRPr="2030048C" w:rsidP="2030048C">
      <w:pPr>
        <w:numPr>
          <w:ilvl w:val="0"/>
          <w:numId w:val="15"/>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To </w:t>
      </w:r>
      <w:r w:rsidRPr="2030048C">
        <w:rPr>
          <w:rFonts w:ascii="Arial" w:eastAsia="Arial" w:hAnsi="Arial" w:cs="Arial"/>
          <w:sz w:val="24"/>
          <w:szCs w:val="24"/>
        </w:rPr>
        <w:t>provide a holistic overview and guidance for individual study and the development of personal practice.</w:t>
      </w:r>
    </w:p>
    <w:p w:rsidRPr="2030048C" w:rsidP="2030048C">
      <w:pPr>
        <w:numPr>
          <w:ilvl w:val="0"/>
          <w:numId w:val="15"/>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To provide a </w:t>
      </w:r>
      <w:r w:rsidRPr="2030048C">
        <w:rPr>
          <w:rFonts w:ascii="Arial" w:eastAsia="Arial" w:hAnsi="Arial" w:cs="Arial"/>
          <w:sz w:val="24"/>
          <w:szCs w:val="24"/>
        </w:rPr>
        <w:t>formalized</w:t>
      </w:r>
      <w:r w:rsidRPr="2030048C">
        <w:rPr>
          <w:rFonts w:ascii="Arial" w:eastAsia="Arial" w:hAnsi="Arial" w:cs="Arial"/>
          <w:sz w:val="24"/>
          <w:szCs w:val="24"/>
        </w:rPr>
        <w:t xml:space="preserve"> structure for the ongoing process of formative feedback and</w:t>
      </w:r>
      <w:r w:rsidRPr="2030048C">
        <w:rPr>
          <w:rFonts w:ascii="Arial" w:eastAsia="Arial" w:hAnsi="Arial" w:cs="Arial"/>
          <w:sz w:val="24"/>
          <w:szCs w:val="24"/>
        </w:rPr>
        <w:t xml:space="preserve"> personal development embedded in studio culture and teaching.</w:t>
      </w:r>
    </w:p>
    <w:p w:rsidRPr="2030048C" w:rsidP="2030048C">
      <w:pPr>
        <w:numPr>
          <w:ilvl w:val="0"/>
          <w:numId w:val="15"/>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To help to develop a student’s ability to be self-reliant and reflective and their ability to use feedback/feed forward to best advantage.</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b/>
          <w:bCs/>
          <w:sz w:val="24"/>
          <w:szCs w:val="24"/>
        </w:rPr>
        <w:t>Key Features of the Personal Tutor scheme</w:t>
      </w:r>
    </w:p>
    <w:p w:rsidRPr="2030048C" w:rsidP="2030048C">
      <w:pPr>
        <w:numPr>
          <w:ilvl w:val="0"/>
          <w:numId w:val="16"/>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Personal Tutors will be allocated at the beginning of the academic year.</w:t>
      </w:r>
    </w:p>
    <w:p w:rsidRPr="2030048C" w:rsidP="2030048C">
      <w:pPr>
        <w:numPr>
          <w:ilvl w:val="0"/>
          <w:numId w:val="16"/>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introductory/welcome tutorial meeting will occur at the beginning of the academic year. Subsequent tutorials will follow and respond to key/stages in the academic year.</w:t>
      </w:r>
    </w:p>
    <w:p w:rsidRPr="2030048C" w:rsidP="2030048C">
      <w:pPr>
        <w:numPr>
          <w:ilvl w:val="0"/>
          <w:numId w:val="16"/>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Students will keep the same personal tutor throughout their year/s of study.</w:t>
      </w:r>
    </w:p>
    <w:p w:rsidRPr="2030048C" w:rsidP="2030048C">
      <w:pPr>
        <w:numPr>
          <w:ilvl w:val="0"/>
          <w:numId w:val="16"/>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One-to-one meetings will vary in length depending on the profile and needs of individual</w:t>
      </w:r>
      <w:r w:rsidRPr="2030048C">
        <w:rPr>
          <w:rFonts w:ascii="Arial" w:eastAsia="Arial" w:hAnsi="Arial" w:cs="Arial"/>
          <w:sz w:val="24"/>
          <w:szCs w:val="24"/>
        </w:rPr>
        <w:t xml:space="preserve"> students.</w:t>
      </w:r>
    </w:p>
    <w:p w:rsidRPr="2030048C" w:rsidP="2030048C">
      <w:pPr>
        <w:pStyle w:val="Body"/>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xml:space="preserve">Masters in Fashion Design programme </w:t>
      </w:r>
      <w:r w:rsidRPr="2030048C">
        <w:rPr>
          <w:rFonts w:ascii="Arial" w:eastAsia="Arial" w:hAnsi="Arial" w:cs="Arial"/>
          <w:sz w:val="24"/>
          <w:szCs w:val="24"/>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To help students to make the transition to </w:t>
      </w:r>
      <w:r w:rsidRPr="2030048C">
        <w:rPr>
          <w:rFonts w:ascii="Arial" w:eastAsia="Arial" w:hAnsi="Arial" w:cs="Arial"/>
          <w:sz w:val="24"/>
          <w:szCs w:val="24"/>
        </w:rPr>
        <w:t>master’s</w:t>
      </w:r>
      <w:r w:rsidRPr="2030048C">
        <w:rPr>
          <w:rFonts w:ascii="Arial" w:eastAsia="Arial" w:hAnsi="Arial" w:cs="Arial"/>
          <w:sz w:val="24"/>
          <w:szCs w:val="24"/>
        </w:rPr>
        <w:t xml:space="preserve"> level study and understand how to use feedback on the postgraduate course </w:t>
      </w:r>
    </w:p>
    <w:p w:rsidRPr="2030048C" w:rsidP="2030048C">
      <w:pPr>
        <w:numPr>
          <w:ilvl w:val="0"/>
          <w:numId w:val="17"/>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To encourage students to be proactive in making links between their course and their professional and/or academic aspirations </w:t>
      </w:r>
    </w:p>
    <w:p w:rsidRPr="2030048C" w:rsidP="2030048C">
      <w:pPr>
        <w:numPr>
          <w:ilvl w:val="0"/>
          <w:numId w:val="17"/>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To explore students’ research aspirations </w:t>
      </w:r>
    </w:p>
    <w:p w:rsidRPr="2030048C" w:rsidP="2030048C">
      <w:pPr>
        <w:numPr>
          <w:ilvl w:val="0"/>
          <w:numId w:val="17"/>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To help students gain confidence in contributing to, and learning from, constructive peer review </w:t>
      </w:r>
    </w:p>
    <w:p w:rsidRPr="2030048C" w:rsidP="2030048C">
      <w:pPr>
        <w:numPr>
          <w:ilvl w:val="0"/>
          <w:numId w:val="17"/>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To encourage students to become part of a wider disciplinary and/or professional community </w:t>
      </w:r>
    </w:p>
    <w:p w:rsidRPr="2030048C" w:rsidP="2030048C">
      <w:pPr>
        <w:numPr>
          <w:ilvl w:val="0"/>
          <w:numId w:val="17"/>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To help students to prepare for the dynamics of supervision </w:t>
      </w:r>
    </w:p>
    <w:p w:rsidRPr="2030048C" w:rsidP="2030048C">
      <w:pPr>
        <w:pStyle w:val="Body"/>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Students are also supported by:</w:t>
      </w:r>
    </w:p>
    <w:p w:rsidRPr="2030048C" w:rsidP="2030048C">
      <w:pPr>
        <w:numPr>
          <w:ilvl w:val="0"/>
          <w:numId w:val="18"/>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xml:space="preserve">A </w:t>
      </w:r>
      <w:r w:rsidRPr="2030048C">
        <w:rPr>
          <w:rFonts w:ascii="Arial" w:eastAsia="Arial" w:hAnsi="Arial" w:cs="Arial"/>
          <w:sz w:val="24"/>
          <w:szCs w:val="24"/>
        </w:rPr>
        <w:t>Module leader for each module</w:t>
      </w:r>
    </w:p>
    <w:p w:rsidRPr="2030048C" w:rsidP="2030048C">
      <w:pPr>
        <w:numPr>
          <w:ilvl w:val="0"/>
          <w:numId w:val="18"/>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A Course Leader to help students understand the programme structure</w:t>
      </w:r>
    </w:p>
    <w:p w:rsidRPr="2030048C" w:rsidP="2030048C">
      <w:pPr>
        <w:numPr>
          <w:ilvl w:val="0"/>
          <w:numId w:val="18"/>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Personal Tutors to provide academic and personal support</w:t>
      </w:r>
    </w:p>
    <w:p w:rsidRPr="2030048C" w:rsidP="2030048C">
      <w:pPr>
        <w:numPr>
          <w:ilvl w:val="0"/>
          <w:numId w:val="18"/>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A Placement cell to give general advice on placements</w:t>
      </w:r>
    </w:p>
    <w:p w:rsidRPr="2030048C" w:rsidP="2030048C">
      <w:pPr>
        <w:numPr>
          <w:ilvl w:val="0"/>
          <w:numId w:val="18"/>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Technical support for practical projects</w:t>
      </w:r>
    </w:p>
    <w:p w:rsidRPr="2030048C" w:rsidP="2030048C">
      <w:pPr>
        <w:numPr>
          <w:ilvl w:val="0"/>
          <w:numId w:val="18"/>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A designated Administrator</w:t>
      </w:r>
    </w:p>
    <w:p w:rsidRPr="2030048C" w:rsidP="2030048C">
      <w:pPr>
        <w:numPr>
          <w:ilvl w:val="0"/>
          <w:numId w:val="18"/>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An induction week at the beginning of each new academic session</w:t>
      </w:r>
    </w:p>
    <w:p w:rsidRPr="2030048C" w:rsidP="2030048C">
      <w:pPr>
        <w:numPr>
          <w:ilvl w:val="0"/>
          <w:numId w:val="18"/>
        </w:numPr>
        <w:ind w:left="144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Staff Student Consultative Committee</w:t>
      </w:r>
    </w:p>
    <w:p w:rsidRPr="2030048C" w:rsidP="2030048C">
      <w:pPr>
        <w:pStyle w:val="Body"/>
        <w:jc w:val="both"/>
        <w:rPr>
          <w:rFonts w:ascii="Arial" w:eastAsia="Arial" w:hAnsi="Arial" w:cs="Arial"/>
          <w:sz w:val="24"/>
          <w:szCs w:val="24"/>
        </w:rPr>
      </w:pPr>
      <w:r w:rsidRPr="2030048C">
        <w:rPr>
          <w:rFonts w:ascii="Arial" w:eastAsia="Arial" w:hAnsi="Arial" w:cs="Arial"/>
          <w:color w:val="4F81BD"/>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In addition, students are supported by:</w:t>
      </w:r>
    </w:p>
    <w:p w:rsidRPr="2030048C" w:rsidP="2030048C">
      <w:pPr>
        <w:pStyle w:val="Body"/>
        <w:jc w:val="both"/>
        <w:rPr>
          <w:rFonts w:ascii="Arial" w:eastAsia="Arial" w:hAnsi="Arial" w:cs="Arial"/>
          <w:sz w:val="24"/>
          <w:szCs w:val="24"/>
        </w:rPr>
      </w:pPr>
      <w:r w:rsidRPr="2030048C">
        <w:rPr>
          <w:rFonts w:ascii="Arial" w:eastAsia="Arial" w:hAnsi="Arial" w:cs="Arial"/>
          <w:color w:val="4F81BD"/>
          <w:sz w:val="24"/>
          <w:szCs w:val="24"/>
        </w:rPr>
        <w:t> </w:t>
      </w:r>
    </w:p>
    <w:p w:rsidRPr="2030048C" w:rsidP="2030048C">
      <w:pPr>
        <w:pStyle w:val="NoSpacing"/>
        <w:jc w:val="both"/>
        <w:rPr>
          <w:rFonts w:ascii="Arial" w:eastAsia="Arial" w:hAnsi="Arial" w:cs="Arial"/>
          <w:sz w:val="24"/>
          <w:szCs w:val="24"/>
        </w:rPr>
      </w:pPr>
      <w:r w:rsidRPr="2030048C">
        <w:rPr>
          <w:rFonts w:ascii="Arial" w:eastAsia="Arial" w:hAnsi="Arial" w:cs="Arial"/>
          <w:b/>
          <w:bCs/>
          <w:sz w:val="24"/>
          <w:szCs w:val="24"/>
        </w:rPr>
        <w:t>Studio Structure</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 xml:space="preserve">All courses within </w:t>
      </w:r>
      <w:r w:rsidRPr="2030048C">
        <w:rPr>
          <w:rFonts w:ascii="Arial" w:eastAsia="Arial" w:hAnsi="Arial" w:cs="Arial"/>
          <w:sz w:val="24"/>
          <w:szCs w:val="24"/>
        </w:rPr>
        <w:t>the Institute place the studio at the heart of the learning support experience. </w:t>
      </w:r>
      <w:r w:rsidRPr="2030048C">
        <w:rPr>
          <w:rFonts w:ascii="Arial" w:eastAsia="Arial" w:hAnsi="Arial" w:cs="Arial"/>
          <w:sz w:val="24"/>
          <w:szCs w:val="24"/>
        </w:rPr>
        <w:t xml:space="preserv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w:t>
      </w: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 xml:space="preserve"> The studio provides a natural and readily available environment for peer-to-peer learning and group work. It also accommodates 1:1 contact and individual learning.</w:t>
      </w:r>
      <w:r w:rsidRPr="2030048C">
        <w:rPr>
          <w:rFonts w:ascii="Arial" w:eastAsia="Arial" w:hAnsi="Arial" w:cs="Arial"/>
          <w:sz w:val="24"/>
          <w:szCs w:val="24"/>
        </w:rPr>
        <w:t> </w:t>
      </w:r>
      <w:r w:rsidRPr="2030048C">
        <w:rPr>
          <w:rFonts w:ascii="Arial" w:eastAsia="Arial" w:hAnsi="Arial" w:cs="Arial"/>
          <w:sz w:val="24"/>
          <w:szCs w:val="24"/>
        </w:rPr>
        <w:t xml:space="preserve"> A strategic programme of lectures, seminars and workshops supports the studio learning experience.</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NoSpacing"/>
        <w:jc w:val="both"/>
        <w:rPr>
          <w:rFonts w:ascii="Arial" w:eastAsia="Arial" w:hAnsi="Arial" w:cs="Arial"/>
          <w:sz w:val="24"/>
          <w:szCs w:val="24"/>
        </w:rPr>
      </w:pPr>
      <w:r w:rsidRPr="2030048C">
        <w:rPr>
          <w:rFonts w:ascii="Arial" w:eastAsia="Arial" w:hAnsi="Arial" w:cs="Arial"/>
          <w:b/>
          <w:bCs/>
          <w:sz w:val="24"/>
          <w:szCs w:val="24"/>
        </w:rPr>
        <w:t>Workshop Structure</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 xml:space="preserve">The diverse range of workshop spaces provides an integral resource </w:t>
      </w:r>
      <w:r w:rsidRPr="2030048C">
        <w:rPr>
          <w:rFonts w:ascii="Arial" w:eastAsia="Arial" w:hAnsi="Arial" w:cs="Arial"/>
          <w:sz w:val="24"/>
          <w:szCs w:val="24"/>
        </w:rPr>
        <w:t xml:space="preserve">to support studio </w:t>
      </w:r>
      <w:r w:rsidRPr="2030048C">
        <w:rPr>
          <w:rFonts w:ascii="Arial" w:eastAsia="Arial" w:hAnsi="Arial" w:cs="Arial"/>
          <w:sz w:val="24"/>
          <w:szCs w:val="24"/>
        </w:rPr>
        <w:t>learning. They are an extension of the studio space but equipped along with</w:t>
      </w:r>
      <w:r w:rsidRPr="2030048C">
        <w:rPr>
          <w:rFonts w:ascii="Arial" w:eastAsia="Arial" w:hAnsi="Arial" w:cs="Arial"/>
          <w:sz w:val="24"/>
          <w:szCs w:val="24"/>
        </w:rPr>
        <w:t xml:space="preserve"> technical</w:t>
      </w:r>
      <w:r w:rsidRPr="2030048C">
        <w:rPr>
          <w:rFonts w:ascii="Arial" w:eastAsia="Arial" w:hAnsi="Arial" w:cs="Arial"/>
          <w:sz w:val="24"/>
          <w:szCs w:val="24"/>
        </w:rPr>
        <w:t xml:space="preserve"> facilities.</w:t>
      </w:r>
      <w:r w:rsidRPr="2030048C">
        <w:rPr>
          <w:rFonts w:ascii="Arial" w:eastAsia="Arial" w:hAnsi="Arial" w:cs="Arial"/>
          <w:sz w:val="24"/>
          <w:szCs w:val="24"/>
        </w:rPr>
        <w:t> </w:t>
      </w:r>
      <w:r w:rsidRPr="2030048C">
        <w:rPr>
          <w:rFonts w:ascii="Arial" w:eastAsia="Arial" w:hAnsi="Arial" w:cs="Arial"/>
          <w:sz w:val="24"/>
          <w:szCs w:val="24"/>
        </w:rPr>
        <w:t xml:space="preserve"> </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NoSpacing"/>
        <w:jc w:val="both"/>
        <w:rPr>
          <w:rFonts w:ascii="Arial" w:eastAsia="Arial" w:hAnsi="Arial" w:cs="Arial"/>
          <w:sz w:val="24"/>
          <w:szCs w:val="24"/>
        </w:rPr>
      </w:pPr>
      <w:r w:rsidRPr="2030048C">
        <w:rPr>
          <w:rFonts w:ascii="Arial" w:eastAsia="Arial" w:hAnsi="Arial" w:cs="Arial"/>
          <w:b/>
          <w:bCs/>
          <w:sz w:val="24"/>
          <w:szCs w:val="24"/>
        </w:rPr>
        <w:t>Staff Structure</w:t>
      </w:r>
      <w:r w:rsidRPr="2030048C">
        <w:rPr>
          <w:rFonts w:ascii="Arial" w:eastAsia="Arial" w:hAnsi="Arial" w:cs="Arial"/>
          <w:b/>
          <w:bCs/>
          <w:sz w:val="24"/>
          <w:szCs w:val="24"/>
        </w:rPr>
        <w:t> </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The staff support structure maps to the studio system.</w:t>
      </w:r>
      <w:r w:rsidRPr="2030048C">
        <w:rPr>
          <w:rFonts w:ascii="Arial" w:eastAsia="Arial" w:hAnsi="Arial" w:cs="Arial"/>
          <w:sz w:val="24"/>
          <w:szCs w:val="24"/>
        </w:rPr>
        <w:t> </w:t>
      </w:r>
      <w:r w:rsidRPr="2030048C">
        <w:rPr>
          <w:rFonts w:ascii="Arial" w:eastAsia="Arial" w:hAnsi="Arial" w:cs="Arial"/>
          <w:sz w:val="24"/>
          <w:szCs w:val="24"/>
        </w:rPr>
        <w:t xml:space="preserve"> Course directors coordinate all levels and studios within a course with each level having dedicated studios and technical sampling </w:t>
      </w:r>
      <w:r w:rsidRPr="2030048C">
        <w:rPr>
          <w:rFonts w:ascii="Arial" w:eastAsia="Arial" w:hAnsi="Arial" w:cs="Arial"/>
          <w:sz w:val="24"/>
          <w:szCs w:val="24"/>
        </w:rPr>
        <w:t>areas. The</w:t>
      </w:r>
      <w:r w:rsidRPr="2030048C">
        <w:rPr>
          <w:rFonts w:ascii="Arial" w:eastAsia="Arial" w:hAnsi="Arial" w:cs="Arial"/>
          <w:sz w:val="24"/>
          <w:szCs w:val="24"/>
        </w:rPr>
        <w:t xml:space="preserve"> Curriculum is d</w:t>
      </w:r>
      <w:r w:rsidRPr="2030048C">
        <w:rPr>
          <w:rFonts w:ascii="Arial" w:eastAsia="Arial" w:hAnsi="Arial" w:cs="Arial"/>
          <w:sz w:val="24"/>
          <w:szCs w:val="24"/>
        </w:rPr>
        <w:t>elivered through</w:t>
      </w:r>
      <w:r w:rsidRPr="2030048C">
        <w:rPr>
          <w:rFonts w:ascii="Arial" w:eastAsia="Arial" w:hAnsi="Arial" w:cs="Arial"/>
          <w:sz w:val="24"/>
          <w:szCs w:val="24"/>
        </w:rPr>
        <w:t xml:space="preserve"> </w:t>
      </w:r>
      <w:r w:rsidRPr="2030048C">
        <w:rPr>
          <w:rFonts w:ascii="Arial" w:eastAsia="Arial" w:hAnsi="Arial" w:cs="Arial"/>
          <w:sz w:val="24"/>
          <w:szCs w:val="24"/>
        </w:rPr>
        <w:t>5 modules by the Course Leader</w:t>
      </w:r>
      <w:r w:rsidRPr="2030048C">
        <w:rPr>
          <w:rFonts w:ascii="Arial" w:eastAsia="Arial" w:hAnsi="Arial" w:cs="Arial"/>
          <w:sz w:val="24"/>
          <w:szCs w:val="24"/>
        </w:rPr>
        <w:t xml:space="preserve"> </w:t>
      </w:r>
      <w:r w:rsidRPr="2030048C">
        <w:rPr>
          <w:rFonts w:ascii="Arial" w:eastAsia="Arial" w:hAnsi="Arial" w:cs="Arial"/>
          <w:sz w:val="24"/>
          <w:szCs w:val="24"/>
        </w:rPr>
        <w:t>and other teaching staff members and also</w:t>
      </w:r>
      <w:r w:rsidRPr="2030048C">
        <w:rPr>
          <w:rFonts w:ascii="Arial" w:eastAsia="Arial" w:hAnsi="Arial" w:cs="Arial"/>
          <w:sz w:val="24"/>
          <w:szCs w:val="24"/>
        </w:rPr>
        <w:t xml:space="preserve"> </w:t>
      </w:r>
      <w:r w:rsidRPr="2030048C">
        <w:rPr>
          <w:rFonts w:ascii="Arial" w:eastAsia="Arial" w:hAnsi="Arial" w:cs="Arial"/>
          <w:sz w:val="24"/>
          <w:szCs w:val="24"/>
        </w:rPr>
        <w:t xml:space="preserve">Industry </w:t>
      </w:r>
      <w:r w:rsidRPr="2030048C">
        <w:rPr>
          <w:rFonts w:ascii="Arial" w:eastAsia="Arial" w:hAnsi="Arial" w:cs="Arial"/>
          <w:sz w:val="24"/>
          <w:szCs w:val="24"/>
        </w:rPr>
        <w:t xml:space="preserve">visiting </w:t>
      </w:r>
      <w:r w:rsidRPr="2030048C">
        <w:rPr>
          <w:rFonts w:ascii="Arial" w:eastAsia="Arial" w:hAnsi="Arial" w:cs="Arial"/>
          <w:sz w:val="24"/>
          <w:szCs w:val="24"/>
        </w:rPr>
        <w:t>expert</w:t>
      </w:r>
      <w:r w:rsidRPr="2030048C">
        <w:rPr>
          <w:rFonts w:ascii="Arial" w:eastAsia="Arial" w:hAnsi="Arial" w:cs="Arial"/>
          <w:sz w:val="24"/>
          <w:szCs w:val="24"/>
        </w:rPr>
        <w:t xml:space="preserve"> to provide the appropriate learning and teaching experience.</w:t>
      </w:r>
      <w:r w:rsidRPr="2030048C">
        <w:rPr>
          <w:rFonts w:ascii="Arial" w:eastAsia="Arial" w:hAnsi="Arial" w:cs="Arial"/>
          <w:sz w:val="24"/>
          <w:szCs w:val="24"/>
        </w:rPr>
        <w:t> </w:t>
      </w:r>
      <w:r w:rsidRPr="2030048C">
        <w:rPr>
          <w:rFonts w:ascii="Arial" w:eastAsia="Arial" w:hAnsi="Arial" w:cs="Arial"/>
          <w:sz w:val="24"/>
          <w:szCs w:val="24"/>
        </w:rPr>
        <w:t>Interdisciplinary modules</w:t>
      </w:r>
      <w:r w:rsidRPr="2030048C">
        <w:rPr>
          <w:rFonts w:ascii="Arial" w:eastAsia="Arial" w:hAnsi="Arial" w:cs="Arial"/>
          <w:sz w:val="24"/>
          <w:szCs w:val="24"/>
        </w:rPr>
        <w:t xml:space="preserve"> are staffed by Course Leader and</w:t>
      </w:r>
      <w:r w:rsidRPr="2030048C">
        <w:rPr>
          <w:rFonts w:ascii="Arial" w:eastAsia="Arial" w:hAnsi="Arial" w:cs="Arial"/>
          <w:sz w:val="24"/>
          <w:szCs w:val="24"/>
        </w:rPr>
        <w:t xml:space="preserve"> staff across the </w:t>
      </w:r>
      <w:r w:rsidRPr="2030048C">
        <w:rPr>
          <w:rFonts w:ascii="Arial" w:eastAsia="Arial" w:hAnsi="Arial" w:cs="Arial"/>
          <w:sz w:val="24"/>
          <w:szCs w:val="24"/>
        </w:rPr>
        <w:t xml:space="preserve">department </w:t>
      </w:r>
      <w:r w:rsidRPr="2030048C">
        <w:rPr>
          <w:rFonts w:ascii="Arial" w:eastAsia="Arial" w:hAnsi="Arial" w:cs="Arial"/>
          <w:sz w:val="24"/>
          <w:szCs w:val="24"/>
        </w:rPr>
        <w:t>offering a rich and diverse inp</w:t>
      </w:r>
      <w:r w:rsidRPr="2030048C">
        <w:rPr>
          <w:rFonts w:ascii="Arial" w:eastAsia="Arial" w:hAnsi="Arial" w:cs="Arial"/>
          <w:sz w:val="24"/>
          <w:szCs w:val="24"/>
        </w:rPr>
        <w:t>ut into group projects and reviews</w:t>
      </w:r>
      <w:r w:rsidRPr="2030048C">
        <w:rPr>
          <w:rFonts w:ascii="Arial" w:eastAsia="Arial" w:hAnsi="Arial" w:cs="Arial"/>
          <w:sz w:val="24"/>
          <w:szCs w:val="24"/>
        </w:rPr>
        <w:t>. Staff mediate this experience across each level or stage of a course, moving from an explicit to implicit role in students’ development, enabling students to learn how to learn and become more progressively independent. Dedicated technicians provide support in technical areas such as knit</w:t>
      </w:r>
      <w:r w:rsidRPr="2030048C">
        <w:rPr>
          <w:rFonts w:ascii="Arial" w:eastAsia="Arial" w:hAnsi="Arial" w:cs="Arial"/>
          <w:sz w:val="24"/>
          <w:szCs w:val="24"/>
        </w:rPr>
        <w:t>, denim</w:t>
      </w:r>
      <w:r w:rsidRPr="2030048C">
        <w:rPr>
          <w:rFonts w:ascii="Arial" w:eastAsia="Arial" w:hAnsi="Arial" w:cs="Arial"/>
          <w:sz w:val="24"/>
          <w:szCs w:val="24"/>
        </w:rPr>
        <w:t xml:space="preserve"> and garment technology within the department in conjunction with the academic staff teams.</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b/>
          <w:bCs/>
          <w:sz w:val="24"/>
          <w:szCs w:val="24"/>
        </w:rPr>
        <w:t>Infrastructure</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The School adopts an infrastructure of learning support means beyond the immediacy of academic courses, including:</w:t>
      </w:r>
    </w:p>
    <w:p w:rsidRPr="2030048C" w:rsidP="2030048C">
      <w:pPr>
        <w:numPr>
          <w:ilvl w:val="0"/>
          <w:numId w:val="19"/>
        </w:numPr>
        <w:ind w:left="1077"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Up to date knowledge of relevant Institutional systems and procedures</w:t>
      </w:r>
    </w:p>
    <w:p w:rsidRPr="2030048C" w:rsidP="2030048C">
      <w:pPr>
        <w:numPr>
          <w:ilvl w:val="0"/>
          <w:numId w:val="19"/>
        </w:numPr>
        <w:ind w:left="1077"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Student Support Office</w:t>
      </w:r>
    </w:p>
    <w:p w:rsidRPr="2030048C" w:rsidP="2030048C">
      <w:pPr>
        <w:numPr>
          <w:ilvl w:val="0"/>
          <w:numId w:val="19"/>
        </w:numPr>
        <w:ind w:left="1077"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Mentoring Scheme</w:t>
      </w:r>
    </w:p>
    <w:p w:rsidRPr="2030048C" w:rsidP="2030048C">
      <w:pPr>
        <w:numPr>
          <w:ilvl w:val="0"/>
          <w:numId w:val="19"/>
        </w:numPr>
        <w:ind w:left="1077"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RPCL (Recognition of Prior Certificated Learning) / RPEL (Recognition of Prior Experiential Learning) processes</w:t>
      </w:r>
    </w:p>
    <w:p w:rsidRPr="2030048C" w:rsidP="2030048C">
      <w:pPr>
        <w:numPr>
          <w:ilvl w:val="0"/>
          <w:numId w:val="19"/>
        </w:numPr>
        <w:ind w:left="1077"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SSCC (Staff Student Consultative Committee)</w:t>
      </w:r>
    </w:p>
    <w:p w:rsidRPr="2030048C" w:rsidP="2030048C">
      <w:pPr>
        <w:numPr>
          <w:ilvl w:val="0"/>
          <w:numId w:val="19"/>
        </w:numPr>
        <w:ind w:left="1077"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BOS (Board of Study)</w:t>
      </w:r>
    </w:p>
    <w:p w:rsidRPr="2030048C" w:rsidP="2030048C">
      <w:pPr>
        <w:numPr>
          <w:ilvl w:val="0"/>
          <w:numId w:val="19"/>
        </w:numPr>
        <w:ind w:left="1077"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Annual Monitoring</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w:t>
      </w:r>
      <w:r w:rsidRPr="2030048C">
        <w:rPr>
          <w:rFonts w:ascii="Arial" w:eastAsia="Arial" w:hAnsi="Arial" w:cs="Arial"/>
          <w:sz w:val="24"/>
          <w:szCs w:val="24"/>
        </w:rPr>
        <w:t>odule Evaluation Questionnaire (M</w:t>
      </w:r>
      <w:r w:rsidRPr="2030048C">
        <w:rPr>
          <w:rFonts w:ascii="Arial" w:eastAsia="Arial" w:hAnsi="Arial" w:cs="Arial"/>
          <w:sz w:val="24"/>
          <w:szCs w:val="24"/>
        </w:rPr>
        <w:t>EQs</w:t>
      </w:r>
      <w:r w:rsidRPr="2030048C">
        <w:rPr>
          <w:rFonts w:ascii="Arial" w:eastAsia="Arial" w:hAnsi="Arial" w:cs="Arial"/>
          <w:sz w:val="24"/>
          <w:szCs w:val="24"/>
        </w:rPr>
        <w:t>.</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728"/>
        <w:gridCol w:w="728"/>
        <w:gridCol w:w="728"/>
        <w:gridCol w:w="728"/>
        <w:gridCol w:w="7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Spacing">
    <w:name w:val="NoSpacing"/>
    <w:basedOn w:val="Normal"/>
  </w:style>
  <w:style w:type="paragraph" w:customStyle="1" w:styleId="Body">
    <w:name w:val="Body"/>
    <w:basedOn w:val="Normal"/>
  </w:style>
  <w:style w:type="paragraph" w:customStyle="1" w:styleId="p">
    <w:name w:val="p"/>
    <w:basedOn w:val="Normal"/>
  </w:style>
  <w:style w:type="paragraph" w:customStyle="1" w:styleId="BulletA">
    <w:name w:val="BulletA"/>
    <w:basedOn w:val="Normal"/>
  </w:style>
  <w:style w:type="character" w:customStyle="1" w:styleId="Hyperlink0">
    <w:name w:val="Hyperlink0"/>
    <w:basedOn w:val="DefaultParagraphFont"/>
  </w:style>
  <w:style w:type="paragraph" w:customStyle="1" w:styleId="ListParagraph0">
    <w:name w:val="List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617FB4A-6D96-4536-80CA-FC47ED0B71A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