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Curating Contemporary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20/08/2023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Creative and Cultural Industries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Creative Industries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Curating Contemporary Design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Cert</w:t>
            </w:r>
            <w:r>
              <w:br/>
            </w:r>
          </w:p>
          <w:p w:rsidR="72431AC7" w:rsidP="01DA1EA0" w14:paraId="59ABF227" w14:textId="338D9999">
            <w:r w:rsidRPr="01DA1EA0">
              <w:rPr>
                <w:rFonts w:ascii="Arial" w:hAnsi="Arial" w:cs="Arial"/>
                <w:sz w:val="22"/>
                <w:szCs w:val="22"/>
              </w:rPr>
              <w:t>PG Dip</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PPCCD1CCD01</w:t>
            </w:r>
          </w:p>
          <w:p w:rsidR="72431AC7" w:rsidP="01DA1EA0" w14:paraId="6CCD9CAD" w14:textId="7FB53094">
            <w:r w:rsidRPr="01DA1EA0">
              <w:rPr>
                <w:rFonts w:ascii="Arial" w:hAnsi="Arial" w:cs="Arial"/>
                <w:sz w:val="22"/>
                <w:szCs w:val="22"/>
              </w:rPr>
              <w:t>PFCCD1CCD01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Creative &amp; Cultural Industries,  School of Critical Studies &amp; Creative Industries,Kingston School of Art, Knights Park, and the Design Museum</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 </w:t>
            </w:r>
          </w:p>
          <w:p w:rsidP="0BF386EB">
            <w:pPr>
              <w:pStyle w:val="MediumGrid21"/>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good BA (Hons) degree or equivalent qualification in an academic or practice subject.</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Applicants with relevant experience but not necessarily the qualifications or disciplinary background identified above, and who demonstrate the necessary skills and intellectual achievement needed to undertake the course will also be considered.</w:t>
            </w:r>
            <w:r>
              <w:rPr>
                <w:rStyle w:val="normaltextrun"/>
                <w:rFonts w:ascii="Arial" w:hAnsi="Arial" w:cs="Arial"/>
                <w:color w:val="000000"/>
                <w:sz w:val="22"/>
                <w:szCs w:val="22"/>
                <w:shd w:val="clear" w:color="auto" w:fill="FFFFFF"/>
              </w:rPr>
              <w:t xml:space="preserv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We welcome applicants with relevant work experience, such as practitioners, museum staff and designers looking to extend their professional experience.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minimum IELTS score of 6.5, TOEFL 88 or equivalent is required for those for whom English is </w:t>
            </w:r>
            <w:r>
              <w:rPr>
                <w:rStyle w:val="normaltextrun"/>
                <w:rFonts w:ascii="Arial" w:hAnsi="Arial" w:cs="Arial"/>
                <w:color w:val="000000"/>
                <w:sz w:val="22"/>
                <w:szCs w:val="22"/>
                <w:shd w:val="clear" w:color="auto" w:fill="FFFFFF"/>
              </w:rPr>
              <w:t>an acquired language</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Applicants from one of the recognised </w:t>
            </w:r>
            <w:hyperlink r:id="rId9" w:anchor="mesc" w:history="1">
              <w:r>
                <w:rPr>
                  <w:rStyle w:val="normaltextrun"/>
                  <w:rFonts w:ascii="Arial" w:hAnsi="Arial" w:cs="Arial"/>
                  <w:color w:val="000000"/>
                  <w:sz w:val="22"/>
                  <w:szCs w:val="22"/>
                  <w:shd w:val="clear" w:color="auto" w:fill="FFFFFF"/>
                </w:rPr>
                <w:t>Majority English Speaking Countries (MESCs)</w:t>
              </w:r>
            </w:hyperlink>
            <w:r>
              <w:rPr>
                <w:rStyle w:val="normaltextrun"/>
                <w:rFonts w:ascii="Arial" w:hAnsi="Arial" w:cs="Arial"/>
                <w:color w:val="000000"/>
                <w:sz w:val="22"/>
                <w:szCs w:val="22"/>
                <w:shd w:val="clear" w:color="auto" w:fill="FFFFFF"/>
              </w:rPr>
              <w:t xml:space="preserve"> do not need to meet these requirements.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Recognition of Prior L</w:t>
            </w:r>
            <w:r>
              <w:rPr>
                <w:rStyle w:val="normaltextrun"/>
                <w:rFonts w:ascii="Arial" w:hAnsi="Arial" w:cs="Arial"/>
                <w:color w:val="000000"/>
                <w:sz w:val="22"/>
                <w:szCs w:val="22"/>
                <w:shd w:val="clear" w:color="auto" w:fill="FFFFFF"/>
              </w:rPr>
              <w:t>earning:</w:t>
            </w:r>
            <w:r>
              <w:rPr>
                <w:rStyle w:val="normaltextrun"/>
                <w:rFonts w:ascii="Arial" w:hAnsi="Arial" w:cs="Arial"/>
                <w:b/>
                <w:bCs/>
                <w:color w:val="000000"/>
                <w:sz w:val="22"/>
                <w:szCs w:val="22"/>
                <w:shd w:val="clear" w:color="auto" w:fill="FFFFFF"/>
              </w:rPr>
              <w:t xml:space="preserve"> </w:t>
            </w:r>
            <w:r>
              <w:rPr>
                <w:rStyle w:val="normaltextrun"/>
                <w:rFonts w:ascii="Arial" w:hAnsi="Arial" w:cs="Arial"/>
                <w:b/>
                <w:bCs/>
                <w:color w:val="000000"/>
                <w:sz w:val="22"/>
                <w:szCs w:val="22"/>
                <w:shd w:val="clear" w:color="auto" w:fill="FFFFFF"/>
              </w:rPr>
              <w:t> </w:t>
            </w:r>
            <w:r>
              <w:rPr>
                <w:rStyle w:val="normaltextrun"/>
                <w:rFonts w:ascii="Arial" w:hAnsi="Arial" w:cs="Arial"/>
                <w:color w:val="000000"/>
                <w:sz w:val="22"/>
                <w:szCs w:val="22"/>
                <w:shd w:val="clear" w:color="auto" w:fill="FFFFFF"/>
              </w:rPr>
              <w:t xml:space="preserve">Applicants with prior qualifications and learning may be exempt from appropriate parts of a course in accordance with the University's policy for </w:t>
            </w:r>
            <w:r>
              <w:rPr>
                <w:rStyle w:val="normaltextrun"/>
                <w:rFonts w:ascii="Arial" w:hAnsi="Arial" w:cs="Arial"/>
                <w:color w:val="000000"/>
                <w:sz w:val="22"/>
                <w:szCs w:val="22"/>
                <w:shd w:val="clear" w:color="auto" w:fill="FFFFFF"/>
              </w:rPr>
              <w:t>the recognition</w:t>
            </w:r>
            <w:r>
              <w:rPr>
                <w:rStyle w:val="normaltextrun"/>
                <w:rFonts w:ascii="Arial" w:hAnsi="Arial" w:cs="Arial"/>
                <w:color w:val="000000"/>
                <w:sz w:val="22"/>
                <w:szCs w:val="22"/>
                <w:shd w:val="clear" w:color="auto" w:fill="FFFFFF"/>
              </w:rPr>
              <w:t xml:space="preserve"> of prior </w:t>
            </w:r>
            <w:r>
              <w:rPr>
                <w:rStyle w:val="normaltextrun"/>
                <w:rFonts w:ascii="Arial" w:hAnsi="Arial" w:cs="Arial"/>
                <w:color w:val="000000"/>
                <w:sz w:val="22"/>
                <w:szCs w:val="22"/>
                <w:shd w:val="clear" w:color="auto" w:fill="FFFFFF"/>
              </w:rPr>
              <w:t>certificated</w:t>
            </w:r>
            <w:r>
              <w:rPr>
                <w:rStyle w:val="normaltextrun"/>
                <w:rFonts w:ascii="Arial" w:hAnsi="Arial" w:cs="Arial"/>
                <w:color w:val="000000"/>
                <w:sz w:val="22"/>
                <w:szCs w:val="22"/>
                <w:shd w:val="clear" w:color="auto" w:fill="FFFFFF"/>
              </w:rPr>
              <w:t xml:space="preserve"> learning </w:t>
            </w:r>
            <w:r>
              <w:rPr>
                <w:rStyle w:val="normaltextrun"/>
                <w:rFonts w:ascii="Arial" w:hAnsi="Arial" w:cs="Arial"/>
                <w:color w:val="000000"/>
                <w:sz w:val="22"/>
                <w:szCs w:val="22"/>
                <w:shd w:val="clear" w:color="auto" w:fill="FFFFFF"/>
              </w:rPr>
              <w:t>(R</w:t>
            </w:r>
            <w:r>
              <w:rPr>
                <w:rStyle w:val="normaltextrun"/>
                <w:rFonts w:ascii="Arial" w:hAnsi="Arial" w:cs="Arial"/>
                <w:color w:val="000000"/>
                <w:sz w:val="22"/>
                <w:szCs w:val="22"/>
                <w:shd w:val="clear" w:color="auto" w:fill="FFFFFF"/>
              </w:rPr>
              <w:t xml:space="preserve">PCL) and </w:t>
            </w:r>
            <w:r>
              <w:rPr>
                <w:rStyle w:val="normaltextrun"/>
                <w:rFonts w:ascii="Arial" w:hAnsi="Arial" w:cs="Arial"/>
                <w:color w:val="000000"/>
                <w:sz w:val="22"/>
                <w:szCs w:val="22"/>
                <w:shd w:val="clear" w:color="auto" w:fill="FFFFFF"/>
              </w:rPr>
              <w:t xml:space="preserve">recognition of </w:t>
            </w:r>
            <w:r>
              <w:rPr>
                <w:rStyle w:val="normaltextrun"/>
                <w:rFonts w:ascii="Arial" w:hAnsi="Arial" w:cs="Arial"/>
                <w:color w:val="000000"/>
                <w:sz w:val="22"/>
                <w:szCs w:val="22"/>
                <w:shd w:val="clear" w:color="auto" w:fill="FFFFFF"/>
              </w:rPr>
              <w:t>prior experiential learning</w:t>
            </w:r>
            <w:r>
              <w:rPr>
                <w:rStyle w:val="normaltextrun"/>
                <w:rFonts w:ascii="Arial" w:hAnsi="Arial" w:cs="Arial"/>
                <w:color w:val="000000"/>
                <w:sz w:val="22"/>
                <w:szCs w:val="22"/>
                <w:shd w:val="clear" w:color="auto" w:fill="FFFFFF"/>
              </w:rPr>
              <w:t xml:space="preserve"> (R</w:t>
            </w:r>
            <w:r>
              <w:rPr>
                <w:rStyle w:val="normaltextrun"/>
                <w:rFonts w:ascii="Arial" w:hAnsi="Arial" w:cs="Arial"/>
                <w:color w:val="000000"/>
                <w:sz w:val="22"/>
                <w:szCs w:val="22"/>
                <w:shd w:val="clear" w:color="auto" w:fill="FFFFFF"/>
              </w:rPr>
              <w:t>PEL).</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 at PG level, but aware of th</w:t>
            </w:r>
            <w:r>
              <w:rPr>
                <w:rStyle w:val="normaltextrun"/>
                <w:rFonts w:ascii="Arial" w:eastAsia="Arial" w:hAnsi="Arial" w:cs="Arial"/>
                <w:color w:val="000000"/>
                <w:sz w:val="22"/>
                <w:szCs w:val="22"/>
                <w:shd w:val="clear" w:color="auto" w:fill="FFFFFF"/>
              </w:rPr>
              <w:t>e UG Benchmarks in Art &amp; Design</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ind w:left="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None.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overall aim of this field is to enable students to develop their</w:t>
      </w:r>
      <w:r w:rsidRPr="007C4290">
        <w:rPr>
          <w:rStyle w:val="normaltextrun"/>
          <w:rFonts w:ascii="Arial" w:hAnsi="Arial" w:cs="Arial"/>
          <w:color w:val="000000" w:themeColor="text1"/>
          <w:shd w:val="clear" w:color="auto" w:fill="FFFFFF"/>
        </w:rPr>
        <w:t xml:space="preserve"> potential career within the cultural and creative industries. Its aim is </w:t>
      </w:r>
      <w:r w:rsidRPr="007C4290">
        <w:rPr>
          <w:rStyle w:val="normaltextrun"/>
          <w:rFonts w:ascii="Arial" w:hAnsi="Arial" w:cs="Arial"/>
          <w:color w:val="000000" w:themeColor="text1"/>
          <w:shd w:val="clear" w:color="auto" w:fill="FFFFFF"/>
        </w:rPr>
        <w:t>to</w:t>
      </w:r>
      <w:r w:rsidRPr="007C4290">
        <w:rPr>
          <w:rStyle w:val="normaltextrun"/>
          <w:rFonts w:ascii="Arial" w:hAnsi="Arial" w:cs="Arial"/>
          <w:color w:val="000000" w:themeColor="text1"/>
          <w:shd w:val="clear" w:color="auto" w:fill="FFFFFF"/>
        </w:rPr>
        <w:t xml:space="preserve"> create a supportive learning environment for full time and </w:t>
      </w:r>
      <w:r w:rsidRPr="007C4290">
        <w:rPr>
          <w:rStyle w:val="normaltextrun"/>
          <w:rFonts w:ascii="Arial" w:hAnsi="Arial" w:cs="Arial"/>
          <w:color w:val="000000" w:themeColor="text1"/>
          <w:shd w:val="clear" w:color="auto" w:fill="FFFFFF"/>
        </w:rPr>
        <w:t>part-time</w:t>
      </w:r>
      <w:r w:rsidRPr="007C4290">
        <w:rPr>
          <w:rStyle w:val="normaltextrun"/>
          <w:rFonts w:ascii="Arial" w:hAnsi="Arial" w:cs="Arial"/>
          <w:color w:val="3157FB"/>
          <w:shd w:val="clear" w:color="auto" w:fill="FFFFFF"/>
        </w:rPr>
        <w:t xml:space="preserve"> </w:t>
      </w:r>
      <w:r w:rsidRPr="007C4290">
        <w:rPr>
          <w:rStyle w:val="normaltextrun"/>
          <w:rFonts w:ascii="Arial" w:hAnsi="Arial" w:cs="Arial"/>
          <w:color w:val="000000" w:themeColor="text1"/>
          <w:shd w:val="clear" w:color="auto" w:fill="FFFFFF"/>
        </w:rPr>
        <w:t xml:space="preserve">students that will enable </w:t>
      </w:r>
      <w:r w:rsidRPr="007C4290">
        <w:rPr>
          <w:rStyle w:val="normaltextrun"/>
          <w:rFonts w:ascii="Arial" w:hAnsi="Arial" w:cs="Arial"/>
          <w:color w:val="000000" w:themeColor="text1"/>
          <w:shd w:val="clear" w:color="auto" w:fill="FFFFFF"/>
        </w:rPr>
        <w:t>them</w:t>
      </w:r>
      <w:r w:rsidRPr="007C4290">
        <w:rPr>
          <w:rStyle w:val="normaltextrun"/>
          <w:rFonts w:ascii="Arial" w:hAnsi="Arial" w:cs="Arial"/>
          <w:color w:val="000000" w:themeColor="text1"/>
          <w:shd w:val="clear" w:color="auto" w:fill="FFFFFF"/>
        </w:rPr>
        <w:t xml:space="preserve"> to achieve </w:t>
      </w:r>
      <w:r w:rsidRPr="007C4290">
        <w:rPr>
          <w:rStyle w:val="normaltextrun"/>
          <w:rFonts w:ascii="Arial" w:hAnsi="Arial" w:cs="Arial"/>
          <w:color w:val="000000" w:themeColor="text1"/>
          <w:shd w:val="clear" w:color="auto" w:fill="FFFFFF"/>
        </w:rPr>
        <w:t>their</w:t>
      </w:r>
      <w:r w:rsidRPr="007C4290">
        <w:rPr>
          <w:rStyle w:val="normaltextrun"/>
          <w:rFonts w:ascii="Arial" w:hAnsi="Arial" w:cs="Arial"/>
          <w:color w:val="000000" w:themeColor="text1"/>
          <w:shd w:val="clear" w:color="auto" w:fill="FFFFFF"/>
        </w:rPr>
        <w:t xml:space="preserve"> potential through the study of curating contemporary design. In particular the programme aims to</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a grounding in the history and theory of design curating</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experience in the practice of organising, interpreting and promoting design</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Consider the development of museology </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Provide students with a thorough understanding of design curating within the context of current theory and practice, based at the Design Museum and Kingston University </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in students key intellectual and practical transferable skills in study areas such as self-management, time management, written and oral expression, a commitment to lifelong learning, and the use of Information Technology</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Improve student self-confidence, and critical independent, and logical thought to allow them to develop their ideas in a critical manner in both writing and orally in a group</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students’ research skills in identifying, locating, and critically appraising primary and secondary material as well as techniques for learning independently, that will allow them to manage curatorial projects.</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Promote the ability to work within a curatorial team. </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Work alongside and interact with designers, clients, graphic designers and educationalists. </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Ensure students place the subject within a global perspective, and understand issues of cultural diversity</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Allow students to characterise their specialisation according to their career goals</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2</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year programme with integrated placement(s) also provides students with an opportunity to enhance their professional skills, preparing them for higher levels of employment, further study and lifelong learning</w:t>
      </w:r>
    </w:p>
    <w:p w:rsidRPr="007C4290" w:rsidP="00A92C9B">
      <w:pPr>
        <w:pStyle w:val="PlainText"/>
        <w:ind w:left="108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outcomes are referenced to the UK Quality Code for Higher Education, including</w:t>
      </w:r>
      <w:r w:rsidRPr="007C4290">
        <w:rPr>
          <w:rStyle w:val="normaltextrun"/>
          <w:rFonts w:ascii="Arial" w:hAnsi="Arial" w:cs="Arial"/>
          <w:color w:val="000000" w:themeColor="text1"/>
          <w:sz w:val="22"/>
          <w:szCs w:val="22"/>
          <w:shd w:val="clear" w:color="auto" w:fill="FFFFFF"/>
        </w:rPr>
        <w:t xml:space="preserve"> the QAA Mast</w:t>
      </w:r>
      <w:r w:rsidRPr="007C4290">
        <w:rPr>
          <w:rStyle w:val="normaltextrun"/>
          <w:rFonts w:ascii="Arial" w:hAnsi="Arial" w:cs="Arial"/>
          <w:color w:val="000000" w:themeColor="text1"/>
          <w:sz w:val="22"/>
          <w:szCs w:val="22"/>
          <w:shd w:val="clear" w:color="auto" w:fill="FFFFFF"/>
        </w:rPr>
        <w:t>er’s Degree Characteristics 20</w:t>
      </w:r>
      <w:r w:rsidRPr="007C4290">
        <w:rPr>
          <w:rStyle w:val="normaltextrun"/>
          <w:rFonts w:ascii="Arial" w:hAnsi="Arial" w:cs="Arial"/>
          <w:color w:val="000000" w:themeColor="text1"/>
          <w:sz w:val="22"/>
          <w:szCs w:val="22"/>
          <w:shd w:val="clear" w:color="auto" w:fill="FFFFFF"/>
        </w:rPr>
        <w:t>20</w:t>
      </w:r>
      <w:r w:rsidRPr="007C4290">
        <w:rPr>
          <w:rStyle w:val="normaltextrun"/>
          <w:rFonts w:ascii="Arial" w:hAnsi="Arial" w:cs="Arial"/>
          <w:color w:val="000000" w:themeColor="text1"/>
          <w:sz w:val="22"/>
          <w:szCs w:val="22"/>
          <w:shd w:val="clear" w:color="auto" w:fill="FFFFFF"/>
        </w:rPr>
        <w:t xml:space="preserve"> and the </w:t>
      </w:r>
      <w:r w:rsidRPr="007C4290">
        <w:rPr>
          <w:rStyle w:val="normaltextrun"/>
          <w:rFonts w:ascii="Arial" w:hAnsi="Arial" w:cs="Arial"/>
          <w:color w:val="000000" w:themeColor="text1"/>
          <w:sz w:val="22"/>
          <w:szCs w:val="22"/>
          <w:shd w:val="clear" w:color="auto" w:fill="FFFFFF"/>
        </w:rPr>
        <w:t>Frameworks for Higher Education Qualifications of UK Degree-Awarding Bodies (2014)</w:t>
      </w:r>
      <w:r w:rsidRPr="007C4290">
        <w:rPr>
          <w:rStyle w:val="normaltextrun"/>
          <w:rFonts w:ascii="Arial" w:hAnsi="Arial" w:cs="Arial"/>
          <w:color w:val="000000" w:themeColor="text1"/>
          <w:sz w:val="22"/>
          <w:szCs w:val="22"/>
          <w:shd w:val="clear" w:color="auto" w:fill="FFFFFF"/>
        </w:rPr>
        <w:t xml:space="preserve"> with an awareness of</w:t>
      </w:r>
      <w:r w:rsidRPr="007C4290">
        <w:rPr>
          <w:rStyle w:val="normaltextrun"/>
          <w:rFonts w:ascii="Arial" w:hAnsi="Arial" w:cs="Arial"/>
          <w:color w:val="000000" w:themeColor="text1"/>
          <w:sz w:val="22"/>
          <w:szCs w:val="22"/>
          <w:shd w:val="clear" w:color="auto" w:fill="FFFFFF"/>
        </w:rPr>
        <w:t xml:space="preserve"> the undergraduate subject benchmarks for Art and Design, and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programme provides opportunities for students to develop and demonstrate knowledge and understanding, skills and other attributes in the following areas.</w:t>
      </w:r>
    </w:p>
    <w:p w:rsidRPr="007C4290" w:rsidP="00917A90">
      <w:pPr>
        <w:ind w:left="72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sophisticated understanding of contemporary creative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critical and reflective approach to curating design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Show awareness of the international issues and approaches and how these relate to curatorial practice</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broad understanding of different contexts for curating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Understand contemporary curatorial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personal curatorial practice and approach in their chosen area of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appraise international and national curatorial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Recognise key approaches to curating practice and connect theory and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Work across teams of interdisciplinary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high level of knowledge and understanding of the historical framework of collecting and curating design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an ability for sustained research, critical analysis and evaluation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wider historical context to curatorial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 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as a full field in full-time</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part-time </w:t>
      </w:r>
      <w:r w:rsidRPr="66934EB1">
        <w:rPr>
          <w:rFonts w:ascii="Arial" w:eastAsia="Arial" w:hAnsi="Arial" w:cs="Arial"/>
          <w:color w:val="000000" w:themeColor="text1"/>
          <w:sz w:val="22"/>
          <w:szCs w:val="22"/>
        </w:rPr>
        <w:t xml:space="preserve">and ‘with professional placement’ </w:t>
      </w:r>
      <w:r w:rsidRPr="66934EB1">
        <w:rPr>
          <w:rFonts w:ascii="Arial" w:eastAsia="Arial" w:hAnsi="Arial" w:cs="Arial"/>
          <w:color w:val="000000" w:themeColor="text1"/>
          <w:sz w:val="22"/>
          <w:szCs w:val="22"/>
        </w:rPr>
        <w:t>modes, and leads to the award of MA.</w:t>
      </w:r>
      <w:r w:rsidRPr="66934EB1">
        <w:rPr>
          <w:rFonts w:ascii="Arial" w:eastAsia="Arial" w:hAnsi="Arial" w:cs="Arial"/>
          <w:color w:val="FF0000"/>
          <w:sz w:val="22"/>
          <w:szCs w:val="22"/>
        </w:rPr>
        <w:t xml:space="preserve"> </w:t>
      </w:r>
      <w:r w:rsidRPr="66934EB1">
        <w:rPr>
          <w:rFonts w:ascii="Arial" w:eastAsia="Arial" w:hAnsi="Arial" w:cs="Arial"/>
          <w:color w:val="000000" w:themeColor="text1"/>
          <w:sz w:val="22"/>
          <w:szCs w:val="22"/>
        </w:rPr>
        <w:t>Entry is normally at L</w:t>
      </w:r>
      <w:r w:rsidRPr="66934EB1">
        <w:rPr>
          <w:rFonts w:ascii="Arial" w:eastAsia="Arial" w:hAnsi="Arial" w:cs="Arial"/>
          <w:color w:val="000000" w:themeColor="text1"/>
          <w:sz w:val="22"/>
          <w:szCs w:val="22"/>
        </w:rPr>
        <w:t>evel 7 with A-level or equivalent qualifications (See section 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normally in September.</w:t>
      </w:r>
    </w:p>
    <w:p w:rsidRPr="66934EB1" w:rsidP="66934EB1">
      <w:pPr>
        <w:pStyle w:val="MediumGrid21"/>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MA Curating Contemporary Design is made up of four 30-credit modules and one 60- credit module (a total of 180 credits), all at Level 7. All students will be provided with the University’s Postgraduate Regulations (PR) and the </w:t>
      </w:r>
      <w:r w:rsidRPr="66934EB1">
        <w:rPr>
          <w:rFonts w:ascii="Arial" w:eastAsia="Arial" w:hAnsi="Arial" w:cs="Arial"/>
          <w:color w:val="000000" w:themeColor="text1"/>
          <w:sz w:val="22"/>
          <w:szCs w:val="22"/>
        </w:rPr>
        <w:t>Course</w:t>
      </w:r>
      <w:r w:rsidRPr="66934EB1">
        <w:rPr>
          <w:rFonts w:ascii="Arial" w:eastAsia="Arial" w:hAnsi="Arial" w:cs="Arial"/>
          <w:color w:val="000000" w:themeColor="text1"/>
          <w:sz w:val="22"/>
          <w:szCs w:val="22"/>
        </w:rPr>
        <w:t xml:space="preserve"> Handbook.</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Full details of each module will be provided in module descriptors and student module guides.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Students on the 2-year programme (with integrated placement) must complete all modules by the end of TB3 and then work in their placement(s) for a maximum of 12 months. </w:t>
      </w:r>
      <w:r w:rsidRPr="66934EB1">
        <w:rPr>
          <w:rFonts w:ascii="Arial" w:eastAsia="Arial" w:hAnsi="Arial" w:cs="Arial"/>
          <w:color w:val="000000" w:themeColor="text1"/>
          <w:sz w:val="22"/>
          <w:szCs w:val="22"/>
        </w:rPr>
        <w:t xml:space="preserve">The student should confirm that their placement opportunity is available by the end of May, and the course team will confirm whether this is acceptable within two weeks. Students on placement(s) must complete a </w:t>
      </w:r>
      <w:r w:rsidRPr="66934EB1">
        <w:rPr>
          <w:rFonts w:ascii="Arial" w:eastAsia="Arial" w:hAnsi="Arial" w:cs="Arial"/>
          <w:color w:val="000000" w:themeColor="text1"/>
          <w:sz w:val="22"/>
          <w:szCs w:val="22"/>
        </w:rPr>
        <w:t>professional</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placement portfolio</w:t>
      </w:r>
      <w:r w:rsidRPr="66934EB1">
        <w:rPr>
          <w:rFonts w:ascii="Arial" w:eastAsia="Arial" w:hAnsi="Arial" w:cs="Arial"/>
          <w:color w:val="000000" w:themeColor="text1"/>
          <w:sz w:val="22"/>
          <w:szCs w:val="22"/>
        </w:rPr>
        <w:t xml:space="preserve"> which includes a reflection on how they have applied the skills they have developed during the previous year, within a p</w:t>
      </w:r>
      <w:r w:rsidRPr="66934EB1">
        <w:rPr>
          <w:rFonts w:ascii="Arial" w:eastAsia="Arial" w:hAnsi="Arial" w:cs="Arial"/>
          <w:color w:val="000000" w:themeColor="text1"/>
          <w:sz w:val="22"/>
          <w:szCs w:val="22"/>
        </w:rPr>
        <w:t>rofessional working environment</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Curating Contemporary Design</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Curating Contemporary Design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Curatorial Formats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CD7107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Curatorial Skill Sets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CD7105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HA7201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Politics of Display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CD7108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 (CSCI)</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WP7002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 TB2, TB3 (Yr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Theories of the Contemporary Object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CD7106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with 60 credits are eligible for the award of PgCert in Curating Contemporary Design.</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with 120 credits are eligible for the award of PgDip in Curating Contemporary Design.</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2"/>
          <w:szCs w:val="22"/>
        </w:rPr>
        <w:t xml:space="preserve"> The School </w:t>
      </w:r>
      <w:r w:rsidRPr="503DC450">
        <w:rPr>
          <w:rFonts w:ascii="Arial" w:hAnsi="Arial" w:cs="Arial"/>
          <w:sz w:val="22"/>
          <w:szCs w:val="22"/>
        </w:rPr>
        <w:t xml:space="preserve">of </w:t>
      </w:r>
      <w:r w:rsidRPr="503DC450">
        <w:rPr>
          <w:rFonts w:ascii="Arial" w:hAnsi="Arial" w:cs="Arial"/>
          <w:sz w:val="22"/>
          <w:szCs w:val="22"/>
        </w:rPr>
        <w:t>Critical Studies &amp; Creative Industries</w:t>
      </w:r>
      <w:r w:rsidRPr="503DC450">
        <w:rPr>
          <w:rFonts w:ascii="Arial" w:hAnsi="Arial" w:cs="Arial"/>
          <w:sz w:val="22"/>
          <w:szCs w:val="22"/>
        </w:rPr>
        <w:t xml:space="preserve"> </w:t>
      </w:r>
      <w:r w:rsidRPr="503DC450">
        <w:rPr>
          <w:rFonts w:ascii="Arial" w:hAnsi="Arial" w:cs="Arial"/>
          <w:sz w:val="22"/>
          <w:szCs w:val="22"/>
        </w:rPr>
        <w:t>promotes and sustains a distinctive pattern of teaching and learning practices.</w:t>
      </w:r>
      <w:r w:rsidRPr="503DC450">
        <w:rPr>
          <w:rFonts w:ascii="Arial" w:hAnsi="Arial" w:cs="Arial"/>
          <w:sz w:val="22"/>
          <w:szCs w:val="22"/>
        </w:rPr>
        <w:t xml:space="preserve"> </w:t>
      </w:r>
      <w:r w:rsidRPr="503DC450">
        <w:rPr>
          <w:rFonts w:ascii="Arial" w:hAnsi="Arial" w:cs="Arial"/>
          <w:sz w:val="22"/>
          <w:szCs w:val="22"/>
        </w:rPr>
        <w:t>For this course this is combined by equal access to the staff and programme of the Design Museum London.</w:t>
      </w:r>
      <w:r w:rsidRPr="503DC450">
        <w:rPr>
          <w:rFonts w:ascii="Arial" w:hAnsi="Arial" w:cs="Arial"/>
          <w:sz w:val="22"/>
          <w:szCs w:val="22"/>
        </w:rPr>
        <w:t xml:space="preserve"> </w:t>
      </w:r>
      <w:r w:rsidRPr="503DC450">
        <w:rPr>
          <w:rFonts w:ascii="Arial" w:hAnsi="Arial" w:cs="Arial"/>
          <w:sz w:val="22"/>
          <w:szCs w:val="22"/>
        </w:rPr>
        <w:t xml:space="preserve">Teaching and learning strategies have developed in close relation to the museum practice, design and the creative industries. The ways in which students develop knowledge and understanding of their subject is equally distinct, with a strong emphasis being placed on the management of increasingly complex project delivery. </w:t>
      </w:r>
    </w:p>
    <w:p w:rsidRPr="503DC450" w:rsidP="007D20BC">
      <w:pPr>
        <w:pStyle w:val="Body"/>
        <w:jc w:val="both"/>
        <w:rPr>
          <w:rFonts w:ascii="Arial" w:hAnsi="Arial" w:cs="Arial"/>
          <w:sz w:val="22"/>
          <w:szCs w:val="22"/>
        </w:rPr>
      </w:pPr>
      <w:r w:rsidRPr="503DC450">
        <w:rPr>
          <w:rFonts w:ascii="Arial" w:hAnsi="Arial" w:cs="Arial"/>
          <w:sz w:val="22"/>
          <w:szCs w:val="22"/>
        </w:rPr>
        <w:t xml:space="preserve">Students are strongly encouraged to develop their own informed and curatorial practice taking into account contemporary research, current industry and design practices. This is achieved through the teaching philosophy in the School, which highlights the importance of knowledge of </w:t>
      </w:r>
      <w:r w:rsidRPr="503DC450">
        <w:rPr>
          <w:rFonts w:ascii="Arial" w:hAnsi="Arial" w:cs="Arial"/>
          <w:sz w:val="22"/>
          <w:szCs w:val="22"/>
        </w:rPr>
        <w:t xml:space="preserve">the contemporary and future </w:t>
      </w:r>
      <w:r w:rsidRPr="503DC450">
        <w:rPr>
          <w:rFonts w:ascii="Arial" w:hAnsi="Arial" w:cs="Arial"/>
          <w:sz w:val="22"/>
          <w:szCs w:val="22"/>
        </w:rPr>
        <w:t xml:space="preserve">art and </w:t>
      </w:r>
      <w:r w:rsidRPr="503DC450">
        <w:rPr>
          <w:rFonts w:ascii="Arial" w:hAnsi="Arial" w:cs="Arial"/>
          <w:sz w:val="22"/>
          <w:szCs w:val="22"/>
        </w:rPr>
        <w:t>design context and through awareness of the forces and issues that influence society</w:t>
      </w:r>
      <w:r w:rsidRPr="503DC450">
        <w:rPr>
          <w:rFonts w:ascii="Arial" w:hAnsi="Arial" w:cs="Arial"/>
          <w:sz w:val="22"/>
          <w:szCs w:val="22"/>
        </w:rPr>
        <w:t xml:space="preserve">, cultural organisations, and </w:t>
      </w:r>
      <w:r w:rsidRPr="503DC450">
        <w:rPr>
          <w:rFonts w:ascii="Arial" w:hAnsi="Arial" w:cs="Arial"/>
          <w:sz w:val="22"/>
          <w:szCs w:val="22"/>
        </w:rPr>
        <w:t>industry to meet the needs of present and future generations.</w:t>
      </w:r>
    </w:p>
    <w:p w:rsidRPr="503DC450" w:rsidP="007D20BC">
      <w:pPr>
        <w:jc w:val="both"/>
        <w:rPr>
          <w:rFonts w:ascii="Arial" w:hAnsi="Arial" w:cs="Arial"/>
          <w:sz w:val="22"/>
          <w:szCs w:val="22"/>
        </w:rPr>
      </w:pPr>
      <w:r w:rsidRPr="503DC450">
        <w:rPr>
          <w:rFonts w:ascii="Arial" w:hAnsi="Arial" w:cs="Arial"/>
          <w:sz w:val="22"/>
          <w:szCs w:val="22"/>
        </w:rPr>
        <w:t>The approach to Teaching, Learning and Assessment within the MA Curating Contemporary Design is inf</w:t>
      </w:r>
      <w:r w:rsidRPr="503DC450">
        <w:rPr>
          <w:rFonts w:ascii="Arial" w:hAnsi="Arial" w:cs="Arial"/>
          <w:sz w:val="22"/>
          <w:szCs w:val="22"/>
        </w:rPr>
        <w:t>ormed by Kingston University’s Corporate Plan</w:t>
      </w:r>
      <w:r w:rsidRPr="503DC450">
        <w:rPr>
          <w:rFonts w:ascii="Arial" w:hAnsi="Arial" w:cs="Arial"/>
          <w:sz w:val="22"/>
          <w:szCs w:val="22"/>
        </w:rPr>
        <w:t xml:space="preserve">. In particular this provides an emphasis on key aspects of our approach: </w:t>
      </w:r>
    </w:p>
    <w:p w:rsidRPr="503DC450" w:rsidP="007D20BC">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The encouragement and support of high quality teaching informed by research and best practice. </w:t>
      </w:r>
    </w:p>
    <w:p w:rsidRPr="503DC450" w:rsidP="007D20BC">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An environment that will create, test, share and spread knowledge for its own sake. </w:t>
      </w:r>
    </w:p>
    <w:p w:rsidRPr="503DC450" w:rsidP="007D20BC">
      <w:pPr>
        <w:numPr>
          <w:ilvl w:val="0"/>
          <w:numId w:val="16"/>
        </w:numPr>
        <w:ind w:left="720" w:right="0" w:hanging="360"/>
        <w:jc w:val="both"/>
        <w:rPr>
          <w:rFonts w:ascii="Arial" w:hAnsi="Arial" w:cs="Arial"/>
          <w:sz w:val="22"/>
          <w:szCs w:val="22"/>
        </w:rPr>
      </w:pPr>
      <w:r w:rsidRPr="503DC450">
        <w:rPr>
          <w:rFonts w:ascii="Arial" w:hAnsi="Arial" w:cs="Arial"/>
          <w:sz w:val="22"/>
          <w:szCs w:val="22"/>
        </w:rPr>
        <w:t>Those delivering teaching will be engaged in the development of their discipline.</w:t>
      </w:r>
    </w:p>
    <w:p w:rsidRPr="503DC450" w:rsidP="007D20BC">
      <w:pPr>
        <w:numPr>
          <w:ilvl w:val="0"/>
          <w:numId w:val="16"/>
        </w:numPr>
        <w:ind w:left="720" w:right="0" w:hanging="360"/>
        <w:jc w:val="both"/>
        <w:rPr>
          <w:rFonts w:ascii="Arial" w:hAnsi="Arial" w:cs="Arial"/>
          <w:sz w:val="22"/>
          <w:szCs w:val="22"/>
        </w:rPr>
      </w:pPr>
      <w:r w:rsidRPr="503DC450">
        <w:rPr>
          <w:rFonts w:ascii="Arial" w:hAnsi="Arial" w:cs="Arial"/>
          <w:sz w:val="22"/>
          <w:szCs w:val="22"/>
        </w:rPr>
        <w:t>The course team will enable students to have the choices and the skills needed for fulfilling professional employment.</w:t>
      </w:r>
    </w:p>
    <w:p w:rsidRPr="503DC450" w:rsidP="007D20BC">
      <w:pPr>
        <w:jc w:val="both"/>
        <w:rPr>
          <w:rFonts w:ascii="Arial" w:hAnsi="Arial" w:cs="Arial"/>
          <w:sz w:val="22"/>
          <w:szCs w:val="22"/>
        </w:rPr>
      </w:pPr>
      <w:r w:rsidRPr="503DC450">
        <w:rPr>
          <w:rFonts w:ascii="Arial" w:hAnsi="Arial" w:cs="Arial"/>
          <w:sz w:val="22"/>
          <w:szCs w:val="22"/>
        </w:rPr>
        <w:t>A comb</w:t>
      </w:r>
      <w:r w:rsidRPr="503DC450">
        <w:rPr>
          <w:rFonts w:ascii="Arial" w:hAnsi="Arial" w:cs="Arial"/>
          <w:sz w:val="22"/>
          <w:szCs w:val="22"/>
        </w:rPr>
        <w:t>ination of staff and student-le</w:t>
      </w:r>
      <w:r w:rsidRPr="503DC450">
        <w:rPr>
          <w:rFonts w:ascii="Arial" w:hAnsi="Arial" w:cs="Arial"/>
          <w:sz w:val="22"/>
          <w:szCs w:val="22"/>
        </w:rPr>
        <w:t>d learning principles have been used in the design of the curriculum and the overarching approach to learning and teaching related to both disciplinary and interdisciplinary knowledge – described by KU as the relationship between</w:t>
      </w:r>
      <w:r w:rsidRPr="503DC450">
        <w:rPr>
          <w:rFonts w:ascii="Arial" w:hAnsi="Arial" w:cs="Arial"/>
          <w:i/>
          <w:iCs/>
          <w:sz w:val="22"/>
          <w:szCs w:val="22"/>
        </w:rPr>
        <w:t xml:space="preserve"> producing</w:t>
      </w:r>
      <w:r w:rsidRPr="503DC450">
        <w:rPr>
          <w:rFonts w:ascii="Arial" w:hAnsi="Arial" w:cs="Arial"/>
          <w:sz w:val="22"/>
          <w:szCs w:val="22"/>
        </w:rPr>
        <w:t xml:space="preserve"> and </w:t>
      </w:r>
      <w:r w:rsidRPr="503DC450">
        <w:rPr>
          <w:rFonts w:ascii="Arial" w:hAnsi="Arial" w:cs="Arial"/>
          <w:i/>
          <w:iCs/>
          <w:sz w:val="22"/>
          <w:szCs w:val="22"/>
        </w:rPr>
        <w:t>pursuing</w:t>
      </w:r>
      <w:r w:rsidRPr="503DC450">
        <w:rPr>
          <w:rFonts w:ascii="Arial" w:hAnsi="Arial" w:cs="Arial"/>
          <w:sz w:val="22"/>
          <w:szCs w:val="22"/>
        </w:rPr>
        <w:t xml:space="preserve"> and </w:t>
      </w:r>
      <w:r w:rsidRPr="503DC450">
        <w:rPr>
          <w:rFonts w:ascii="Arial" w:hAnsi="Arial" w:cs="Arial"/>
          <w:i/>
          <w:iCs/>
          <w:sz w:val="22"/>
          <w:szCs w:val="22"/>
        </w:rPr>
        <w:t>producing</w:t>
      </w:r>
      <w:r w:rsidRPr="503DC450">
        <w:rPr>
          <w:rFonts w:ascii="Arial" w:hAnsi="Arial" w:cs="Arial"/>
          <w:sz w:val="22"/>
          <w:szCs w:val="22"/>
        </w:rPr>
        <w:t xml:space="preserve"> and </w:t>
      </w:r>
      <w:r w:rsidRPr="503DC450">
        <w:rPr>
          <w:rFonts w:ascii="Arial" w:hAnsi="Arial" w:cs="Arial"/>
          <w:i/>
          <w:iCs/>
          <w:sz w:val="22"/>
          <w:szCs w:val="22"/>
        </w:rPr>
        <w:t>authoring</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 xml:space="preserve">Curators engage in authentic, challenging and industry relevant projects. They </w:t>
      </w:r>
      <w:r w:rsidRPr="503DC450">
        <w:rPr>
          <w:rFonts w:ascii="Arial" w:hAnsi="Arial" w:cs="Arial"/>
          <w:sz w:val="22"/>
          <w:szCs w:val="22"/>
        </w:rPr>
        <w:t>w</w:t>
      </w:r>
      <w:r w:rsidRPr="503DC450">
        <w:rPr>
          <w:rFonts w:ascii="Arial" w:hAnsi="Arial" w:cs="Arial"/>
          <w:sz w:val="22"/>
          <w:szCs w:val="22"/>
        </w:rPr>
        <w:t xml:space="preserve">ork collaboratively with peers in a community of shared disciplinary and interdisciplinary practice </w:t>
      </w:r>
      <w:r w:rsidRPr="503DC450">
        <w:rPr>
          <w:rFonts w:ascii="Arial" w:hAnsi="Arial" w:cs="Arial"/>
          <w:sz w:val="22"/>
          <w:szCs w:val="22"/>
        </w:rPr>
        <w:t>and are able</w:t>
      </w:r>
      <w:r w:rsidRPr="503DC450">
        <w:rPr>
          <w:rFonts w:ascii="Arial" w:hAnsi="Arial" w:cs="Arial"/>
          <w:sz w:val="22"/>
          <w:szCs w:val="22"/>
        </w:rPr>
        <w:t xml:space="preserve"> to reflect on and theorise their learning.</w:t>
      </w:r>
    </w:p>
    <w:p w:rsidRPr="503DC450" w:rsidP="007D20BC">
      <w:pPr>
        <w:jc w:val="both"/>
        <w:rPr>
          <w:rFonts w:ascii="Arial" w:hAnsi="Arial" w:cs="Arial"/>
          <w:sz w:val="22"/>
          <w:szCs w:val="22"/>
        </w:rPr>
      </w:pPr>
      <w:r w:rsidRPr="503DC450">
        <w:rPr>
          <w:rFonts w:ascii="Arial" w:hAnsi="Arial" w:cs="Arial"/>
          <w:sz w:val="22"/>
          <w:szCs w:val="22"/>
        </w:rPr>
        <w:t>The teaching and learning of curatorial projects incorporates:</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Analysis of the project brief, research and insight gathering in to the ‘theme’ or objective and subsequent problem finding for problem solving.</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Analysis of context.</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Tools and strategies for curatorial process.</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Teaching communication and presentation tools and techniques.</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Teaching digital tools for design and realisation</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Tutorials, lectures, seminars and workshops</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Developing students</w:t>
      </w:r>
      <w:r w:rsidRPr="503DC450">
        <w:rPr>
          <w:rFonts w:ascii="Arial" w:hAnsi="Arial" w:cs="Arial"/>
          <w:color w:val="00B0F0"/>
          <w:sz w:val="22"/>
          <w:szCs w:val="22"/>
        </w:rPr>
        <w:t>’</w:t>
      </w:r>
      <w:r w:rsidRPr="503DC450">
        <w:rPr>
          <w:rFonts w:ascii="Arial" w:hAnsi="Arial" w:cs="Arial"/>
          <w:sz w:val="22"/>
          <w:szCs w:val="22"/>
        </w:rPr>
        <w:t xml:space="preserve"> ability to confidently communicate orally </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Project reviews and critiques to promote peer project discussion and debate.</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Encouraging within students’ self-reflection and self-criticism in relation to a sustainable practice.</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A continual process of formative assessment and feedback/feedforward through the use of studio tutorials, reviews and group critiques. Summative assessment at the end of the module and formal feedback is provided following review of the submitted/presented project work. </w:t>
      </w:r>
    </w:p>
    <w:p w:rsidRPr="503DC450" w:rsidP="007D20BC">
      <w:pPr>
        <w:pStyle w:val="Body"/>
        <w:jc w:val="both"/>
        <w:rPr>
          <w:rFonts w:ascii="Arial" w:hAnsi="Arial" w:cs="Arial"/>
          <w:sz w:val="22"/>
          <w:szCs w:val="22"/>
        </w:rPr>
      </w:pPr>
      <w:r w:rsidRPr="503DC450">
        <w:rPr>
          <w:rFonts w:ascii="Arial" w:hAnsi="Arial" w:cs="Arial"/>
          <w:sz w:val="22"/>
          <w:szCs w:val="22"/>
        </w:rPr>
        <w:t>The delivery of modules will be by means of lectures, seminars, workshops, group critique, individual tutorials, demonstration, projects, briefings, study visits, peer learning, independent learning and study skills.</w:t>
      </w:r>
    </w:p>
    <w:p w:rsidRPr="503DC450" w:rsidP="007D20BC">
      <w:pPr>
        <w:pStyle w:val="Bullet"/>
        <w:ind w:left="0"/>
        <w:jc w:val="both"/>
        <w:rPr>
          <w:rFonts w:ascii="Arial" w:hAnsi="Arial" w:cs="Arial"/>
          <w:sz w:val="22"/>
          <w:szCs w:val="22"/>
        </w:rPr>
      </w:pPr>
      <w:r w:rsidRPr="503DC450">
        <w:rPr>
          <w:rFonts w:ascii="Arial" w:hAnsi="Arial" w:cs="Arial"/>
          <w:b/>
          <w:bCs/>
          <w:sz w:val="22"/>
          <w:szCs w:val="22"/>
        </w:rPr>
        <w:t>• Lectures</w:t>
      </w:r>
      <w:r w:rsidRPr="503DC450">
        <w:rPr>
          <w:rFonts w:ascii="Arial" w:hAnsi="Arial" w:cs="Arial"/>
          <w:sz w:val="22"/>
          <w:szCs w:val="22"/>
        </w:rPr>
        <w:t xml:space="preserve"> - A member of staff or invited guest will provide taught input, often followed up by group discussion to ensure a full understanding and to encourage critical analysis of the material. </w:t>
      </w:r>
    </w:p>
    <w:p w:rsidRPr="503DC450" w:rsidP="007D20BC">
      <w:pPr>
        <w:pStyle w:val="Bullet"/>
        <w:ind w:left="0"/>
        <w:jc w:val="both"/>
        <w:rPr>
          <w:rFonts w:ascii="Arial" w:hAnsi="Arial" w:cs="Arial"/>
          <w:sz w:val="22"/>
          <w:szCs w:val="22"/>
        </w:rPr>
      </w:pPr>
      <w:r w:rsidRPr="503DC450">
        <w:rPr>
          <w:rFonts w:ascii="Arial" w:hAnsi="Arial" w:cs="Arial"/>
          <w:b/>
          <w:bCs/>
          <w:sz w:val="22"/>
          <w:szCs w:val="22"/>
        </w:rPr>
        <w:t>• Seminars</w:t>
      </w:r>
      <w:r w:rsidRPr="503DC450">
        <w:rPr>
          <w:rFonts w:ascii="Arial" w:hAnsi="Arial" w:cs="Arial"/>
          <w:sz w:val="22"/>
          <w:szCs w:val="22"/>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 </w:t>
      </w:r>
    </w:p>
    <w:p w:rsidRPr="503DC450" w:rsidP="007D20BC">
      <w:pPr>
        <w:pStyle w:val="Bullet"/>
        <w:ind w:left="0"/>
        <w:jc w:val="both"/>
        <w:rPr>
          <w:rFonts w:ascii="Arial" w:hAnsi="Arial" w:cs="Arial"/>
          <w:sz w:val="22"/>
          <w:szCs w:val="22"/>
        </w:rPr>
      </w:pPr>
      <w:r w:rsidRPr="503DC450">
        <w:rPr>
          <w:rFonts w:ascii="Arial" w:hAnsi="Arial" w:cs="Arial"/>
          <w:b/>
          <w:bCs/>
          <w:sz w:val="22"/>
          <w:szCs w:val="22"/>
        </w:rPr>
        <w:t>• Group Critique</w:t>
      </w:r>
      <w:r w:rsidRPr="503DC450">
        <w:rPr>
          <w:rFonts w:ascii="Arial" w:hAnsi="Arial" w:cs="Arial"/>
          <w:sz w:val="22"/>
          <w:szCs w:val="22"/>
        </w:rPr>
        <w:t xml:space="preserve"> - Commonly known as Group ‘Crits’. On these occasions a group of students and members of staff and, if appropriate, invited guests from industry will discuss the work of one or more students who are present. Group crits take place at the Design Museum.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w:t>
      </w:r>
    </w:p>
    <w:p w:rsidRPr="503DC450" w:rsidP="007D20BC">
      <w:pPr>
        <w:pStyle w:val="Bullet"/>
        <w:ind w:left="0"/>
        <w:jc w:val="both"/>
        <w:rPr>
          <w:rFonts w:ascii="Arial" w:hAnsi="Arial" w:cs="Arial"/>
          <w:sz w:val="22"/>
          <w:szCs w:val="22"/>
        </w:rPr>
      </w:pPr>
      <w:r w:rsidRPr="503DC450">
        <w:rPr>
          <w:rFonts w:ascii="Arial" w:hAnsi="Arial" w:cs="Arial"/>
          <w:b/>
          <w:bCs/>
          <w:sz w:val="22"/>
          <w:szCs w:val="22"/>
        </w:rPr>
        <w:t>• Tutorials</w:t>
      </w:r>
      <w:r w:rsidRPr="503DC450">
        <w:rPr>
          <w:rFonts w:ascii="Arial" w:hAnsi="Arial" w:cs="Arial"/>
          <w:sz w:val="22"/>
          <w:szCs w:val="22"/>
        </w:rPr>
        <w:t xml:space="preserve"> - Opportunities to strategically discuss a range of issues relating to individual development and to clarify existing knowledge, to support project initiatives, and to guide and facilitate further independent creative learning and thought.</w:t>
      </w:r>
      <w:r w:rsidRPr="503DC450">
        <w:rPr>
          <w:rFonts w:ascii="Arial" w:hAnsi="Arial" w:cs="Arial"/>
          <w:sz w:val="22"/>
          <w:szCs w:val="22"/>
        </w:rPr>
        <w:t xml:space="preserve"> </w:t>
      </w:r>
      <w:r w:rsidRPr="503DC450">
        <w:rPr>
          <w:rFonts w:ascii="Arial" w:hAnsi="Arial" w:cs="Arial"/>
          <w:sz w:val="22"/>
          <w:szCs w:val="22"/>
        </w:rPr>
        <w:t>. They also provide opportunities for formative assessment where students receive feedback on completed work and feed</w:t>
      </w:r>
      <w:r w:rsidRPr="503DC450">
        <w:rPr>
          <w:rFonts w:ascii="Arial" w:hAnsi="Arial" w:cs="Arial"/>
          <w:sz w:val="22"/>
          <w:szCs w:val="22"/>
        </w:rPr>
        <w:t xml:space="preserve"> </w:t>
      </w:r>
      <w:r w:rsidRPr="503DC450">
        <w:rPr>
          <w:rFonts w:ascii="Arial" w:hAnsi="Arial" w:cs="Arial"/>
          <w:sz w:val="22"/>
          <w:szCs w:val="22"/>
        </w:rPr>
        <w:t>forward on work in progress.</w:t>
      </w:r>
    </w:p>
    <w:p w:rsidRPr="503DC450" w:rsidP="007D20BC">
      <w:pPr>
        <w:pStyle w:val="Bullet"/>
        <w:ind w:left="0"/>
        <w:jc w:val="both"/>
        <w:rPr>
          <w:rFonts w:ascii="Arial" w:hAnsi="Arial" w:cs="Arial"/>
          <w:sz w:val="22"/>
          <w:szCs w:val="22"/>
        </w:rPr>
      </w:pPr>
      <w:r w:rsidRPr="503DC450">
        <w:rPr>
          <w:rFonts w:ascii="Arial" w:hAnsi="Arial" w:cs="Arial"/>
          <w:b/>
          <w:bCs/>
          <w:sz w:val="22"/>
          <w:szCs w:val="22"/>
        </w:rPr>
        <w:t>• Demonstration</w:t>
      </w:r>
      <w:r w:rsidRPr="503DC450">
        <w:rPr>
          <w:rFonts w:ascii="Arial" w:hAnsi="Arial" w:cs="Arial"/>
          <w:sz w:val="22"/>
          <w:szCs w:val="22"/>
        </w:rPr>
        <w:t xml:space="preserve"> - This often involves the first introduction to a material, technology, process, technique or equipment not previously experienced by a group of students.</w:t>
      </w:r>
      <w:r w:rsidRPr="503DC450">
        <w:rPr>
          <w:rFonts w:ascii="Arial" w:hAnsi="Arial" w:cs="Arial"/>
          <w:sz w:val="22"/>
          <w:szCs w:val="22"/>
        </w:rPr>
        <w:t xml:space="preserve"> </w:t>
      </w:r>
      <w:r w:rsidRPr="503DC450">
        <w:rPr>
          <w:rFonts w:ascii="Arial" w:hAnsi="Arial" w:cs="Arial"/>
          <w:sz w:val="22"/>
          <w:szCs w:val="22"/>
        </w:rPr>
        <w:t>It is intended to make students aware of the potential and characteristics of the ‘subject’ and it is not intended that every student will necessarily go on to learn and apply the skills or knowledge.</w:t>
      </w:r>
    </w:p>
    <w:p w:rsidRPr="503DC450" w:rsidP="007D20BC">
      <w:pPr>
        <w:pStyle w:val="Bullet"/>
        <w:ind w:left="0"/>
        <w:jc w:val="both"/>
        <w:rPr>
          <w:rFonts w:ascii="Arial" w:hAnsi="Arial" w:cs="Arial"/>
          <w:sz w:val="22"/>
          <w:szCs w:val="22"/>
        </w:rPr>
      </w:pPr>
      <w:r w:rsidRPr="503DC450">
        <w:rPr>
          <w:rFonts w:ascii="Arial" w:hAnsi="Arial" w:cs="Arial"/>
          <w:b/>
          <w:bCs/>
          <w:sz w:val="22"/>
          <w:szCs w:val="22"/>
        </w:rPr>
        <w:t>• Museum Visits</w:t>
      </w:r>
      <w:r w:rsidRPr="503DC450">
        <w:rPr>
          <w:rFonts w:ascii="Arial" w:hAnsi="Arial" w:cs="Arial"/>
          <w:sz w:val="22"/>
          <w:szCs w:val="22"/>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503DC450" w:rsidP="007D20BC">
      <w:pPr>
        <w:pStyle w:val="Bullet"/>
        <w:ind w:left="0"/>
        <w:jc w:val="both"/>
        <w:rPr>
          <w:rFonts w:ascii="Arial" w:hAnsi="Arial" w:cs="Arial"/>
          <w:sz w:val="22"/>
          <w:szCs w:val="22"/>
        </w:rPr>
      </w:pPr>
      <w:r w:rsidRPr="503DC450">
        <w:rPr>
          <w:rFonts w:ascii="Arial" w:hAnsi="Arial" w:cs="Arial"/>
          <w:b/>
          <w:bCs/>
          <w:sz w:val="22"/>
          <w:szCs w:val="22"/>
        </w:rPr>
        <w:t>• Projects</w:t>
      </w:r>
      <w:r w:rsidRPr="503DC450">
        <w:rPr>
          <w:rFonts w:ascii="Arial" w:hAnsi="Arial" w:cs="Arial"/>
          <w:sz w:val="22"/>
          <w:szCs w:val="22"/>
        </w:rPr>
        <w:t xml:space="preserve"> - Set projects are often linked to a given curatorial project developed over a period of time which is</w:t>
      </w:r>
      <w:r w:rsidRPr="503DC450">
        <w:rPr>
          <w:rFonts w:ascii="Arial" w:hAnsi="Arial" w:cs="Arial"/>
          <w:b/>
          <w:bCs/>
          <w:sz w:val="22"/>
          <w:szCs w:val="22"/>
        </w:rPr>
        <w:t xml:space="preserve"> </w:t>
      </w:r>
      <w:r w:rsidRPr="503DC450">
        <w:rPr>
          <w:rFonts w:ascii="Arial" w:hAnsi="Arial" w:cs="Arial"/>
          <w:sz w:val="22"/>
          <w:szCs w:val="22"/>
        </w:rPr>
        <w:t>agreed between the</w:t>
      </w:r>
      <w:r w:rsidRPr="503DC450">
        <w:rPr>
          <w:rFonts w:ascii="Arial" w:hAnsi="Arial" w:cs="Arial"/>
          <w:b/>
          <w:bCs/>
          <w:sz w:val="22"/>
          <w:szCs w:val="22"/>
        </w:rPr>
        <w:t xml:space="preserve"> </w:t>
      </w:r>
      <w:r w:rsidRPr="503DC450">
        <w:rPr>
          <w:rFonts w:ascii="Arial" w:hAnsi="Arial" w:cs="Arial"/>
          <w:sz w:val="22"/>
          <w:szCs w:val="22"/>
        </w:rPr>
        <w:t>individual student and a member of the academic staff.</w:t>
      </w:r>
    </w:p>
    <w:p w:rsidRPr="503DC450" w:rsidP="007D20BC">
      <w:pPr>
        <w:pStyle w:val="Bullet"/>
        <w:ind w:left="0"/>
        <w:jc w:val="both"/>
        <w:rPr>
          <w:rFonts w:ascii="Arial" w:hAnsi="Arial" w:cs="Arial"/>
          <w:sz w:val="22"/>
          <w:szCs w:val="22"/>
        </w:rPr>
      </w:pPr>
      <w:r w:rsidRPr="503DC450">
        <w:rPr>
          <w:rFonts w:ascii="Arial" w:hAnsi="Arial" w:cs="Arial"/>
          <w:b/>
          <w:bCs/>
          <w:sz w:val="22"/>
          <w:szCs w:val="22"/>
        </w:rPr>
        <w:t xml:space="preserve">• </w:t>
      </w:r>
      <w:r w:rsidRPr="503DC450">
        <w:rPr>
          <w:rFonts w:ascii="Arial" w:hAnsi="Arial" w:cs="Arial"/>
          <w:b/>
          <w:bCs/>
          <w:sz w:val="22"/>
          <w:szCs w:val="22"/>
        </w:rPr>
        <w:t>Capstone Project</w:t>
      </w:r>
      <w:r w:rsidRPr="503DC450">
        <w:rPr>
          <w:rFonts w:ascii="Arial" w:hAnsi="Arial" w:cs="Arial"/>
          <w:sz w:val="22"/>
          <w:szCs w:val="22"/>
        </w:rPr>
        <w:t xml:space="preserve"> -</w:t>
      </w:r>
      <w:r w:rsidRPr="503DC450">
        <w:rPr>
          <w:rFonts w:ascii="Arial" w:hAnsi="Arial" w:cs="Arial"/>
          <w:b/>
          <w:bCs/>
          <w:sz w:val="22"/>
          <w:szCs w:val="22"/>
        </w:rPr>
        <w:t xml:space="preserve"> </w:t>
      </w:r>
      <w:r w:rsidRPr="503DC450">
        <w:rPr>
          <w:rFonts w:ascii="Arial" w:hAnsi="Arial" w:cs="Arial"/>
          <w:sz w:val="22"/>
          <w:szCs w:val="22"/>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503DC450" w:rsidP="007D20BC">
      <w:pPr>
        <w:pStyle w:val="Bullet"/>
        <w:ind w:left="0"/>
        <w:jc w:val="both"/>
        <w:rPr>
          <w:rFonts w:ascii="Arial" w:hAnsi="Arial" w:cs="Arial"/>
          <w:sz w:val="22"/>
          <w:szCs w:val="22"/>
        </w:rPr>
      </w:pPr>
      <w:r w:rsidRPr="503DC450">
        <w:rPr>
          <w:rFonts w:ascii="Arial" w:hAnsi="Arial" w:cs="Arial"/>
          <w:b/>
          <w:bCs/>
          <w:sz w:val="22"/>
          <w:szCs w:val="22"/>
        </w:rPr>
        <w:t>• Briefing</w:t>
      </w:r>
      <w:r w:rsidRPr="503DC450">
        <w:rPr>
          <w:rFonts w:ascii="Arial" w:hAnsi="Arial" w:cs="Arial"/>
          <w:i/>
          <w:iCs/>
          <w:sz w:val="22"/>
          <w:szCs w:val="22"/>
        </w:rPr>
        <w:t xml:space="preserve"> </w:t>
      </w:r>
      <w:r w:rsidRPr="503DC450">
        <w:rPr>
          <w:rFonts w:ascii="Arial" w:hAnsi="Arial" w:cs="Arial"/>
          <w:sz w:val="22"/>
          <w:szCs w:val="22"/>
        </w:rPr>
        <w:t>- A briefing takes place to make known and explain specifics of projects; theme, aims &amp; objectives, learning outcomes, timetable etc.</w:t>
      </w:r>
    </w:p>
    <w:p w:rsidRPr="503DC450" w:rsidP="007D20BC">
      <w:pPr>
        <w:pStyle w:val="Bullet"/>
        <w:ind w:left="0"/>
        <w:jc w:val="both"/>
        <w:rPr>
          <w:rFonts w:ascii="Arial" w:hAnsi="Arial" w:cs="Arial"/>
          <w:sz w:val="22"/>
          <w:szCs w:val="22"/>
        </w:rPr>
      </w:pPr>
      <w:r w:rsidRPr="503DC450">
        <w:rPr>
          <w:rFonts w:ascii="Arial" w:hAnsi="Arial" w:cs="Arial"/>
          <w:b/>
          <w:bCs/>
          <w:sz w:val="22"/>
          <w:szCs w:val="22"/>
        </w:rPr>
        <w:t>• Peer Learning</w:t>
      </w:r>
      <w:r w:rsidRPr="503DC450">
        <w:rPr>
          <w:rFonts w:ascii="Arial" w:hAnsi="Arial" w:cs="Arial"/>
          <w:sz w:val="22"/>
          <w:szCs w:val="22"/>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rsidRPr="503DC450" w:rsidP="007D20BC">
      <w:pPr>
        <w:pStyle w:val="Bullet"/>
        <w:ind w:left="0"/>
        <w:jc w:val="both"/>
        <w:rPr>
          <w:rFonts w:ascii="Arial" w:hAnsi="Arial" w:cs="Arial"/>
          <w:sz w:val="22"/>
          <w:szCs w:val="22"/>
        </w:rPr>
      </w:pPr>
      <w:r w:rsidRPr="503DC450">
        <w:rPr>
          <w:rFonts w:ascii="Arial" w:hAnsi="Arial" w:cs="Arial"/>
          <w:b/>
          <w:bCs/>
          <w:sz w:val="22"/>
          <w:szCs w:val="22"/>
        </w:rPr>
        <w:t>• Independent Study</w:t>
      </w:r>
      <w:r w:rsidRPr="503DC450">
        <w:rPr>
          <w:rFonts w:ascii="Arial" w:hAnsi="Arial" w:cs="Arial"/>
          <w:sz w:val="22"/>
          <w:szCs w:val="22"/>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r w:rsidRPr="503DC450">
        <w:rPr>
          <w:rFonts w:ascii="Arial" w:hAnsi="Arial" w:cs="Arial"/>
          <w:i/>
          <w:iCs/>
          <w:sz w:val="22"/>
          <w:szCs w:val="22"/>
        </w:rPr>
        <w:t> </w:t>
      </w:r>
    </w:p>
    <w:p w:rsidRPr="503DC450" w:rsidP="007D20BC">
      <w:pPr>
        <w:jc w:val="both"/>
        <w:rPr>
          <w:rFonts w:ascii="Arial" w:hAnsi="Arial" w:cs="Arial"/>
          <w:sz w:val="22"/>
          <w:szCs w:val="22"/>
        </w:rPr>
      </w:pPr>
      <w:r w:rsidRPr="503DC450">
        <w:rPr>
          <w:rFonts w:ascii="Arial" w:hAnsi="Arial" w:cs="Arial"/>
          <w:b/>
          <w:bCs/>
          <w:sz w:val="22"/>
          <w:szCs w:val="22"/>
        </w:rPr>
        <w:t>• The VLE (Virtual Learning Environment)</w:t>
      </w:r>
      <w:r w:rsidRPr="503DC450">
        <w:rPr>
          <w:rFonts w:ascii="Arial" w:hAnsi="Arial" w:cs="Arial"/>
          <w:sz w:val="22"/>
          <w:szCs w:val="22"/>
        </w:rPr>
        <w:t xml:space="preserve"> - is an online environment that aims to make the most effective use of a range of virtual teaching and learning tools. The School is involved in the development of onlin</w:t>
      </w:r>
      <w:r w:rsidRPr="503DC450">
        <w:rPr>
          <w:rFonts w:ascii="Arial" w:hAnsi="Arial" w:cs="Arial"/>
          <w:sz w:val="22"/>
          <w:szCs w:val="22"/>
        </w:rPr>
        <w:t>e materials to support course, S</w:t>
      </w:r>
      <w:r w:rsidRPr="503DC450">
        <w:rPr>
          <w:rFonts w:ascii="Arial" w:hAnsi="Arial" w:cs="Arial"/>
          <w:sz w:val="22"/>
          <w:szCs w:val="22"/>
        </w:rPr>
        <w:t>cho</w:t>
      </w:r>
      <w:r w:rsidRPr="503DC450">
        <w:rPr>
          <w:rFonts w:ascii="Arial" w:hAnsi="Arial" w:cs="Arial"/>
          <w:sz w:val="22"/>
          <w:szCs w:val="22"/>
        </w:rPr>
        <w:t>ol and F</w:t>
      </w:r>
      <w:r w:rsidRPr="503DC450">
        <w:rPr>
          <w:rFonts w:ascii="Arial" w:hAnsi="Arial" w:cs="Arial"/>
          <w:sz w:val="22"/>
          <w:szCs w:val="22"/>
        </w:rPr>
        <w:t xml:space="preserve">aculty content. The aim is to develop a flexible set of virtual resources demonstrating skills, processes and methods valuable for enhancing creativity and knowledge throughout the School. Additionally the VLE </w:t>
      </w:r>
      <w:r w:rsidRPr="503DC450">
        <w:rPr>
          <w:rFonts w:ascii="Arial" w:hAnsi="Arial" w:cs="Arial"/>
          <w:sz w:val="22"/>
          <w:szCs w:val="22"/>
        </w:rPr>
        <w:t>seeks to enhance communication, a sense of community and inter-course discussion and debate.</w:t>
      </w:r>
    </w:p>
    <w:p w:rsidRPr="503DC450" w:rsidP="007D20BC">
      <w:pPr>
        <w:jc w:val="both"/>
        <w:rPr>
          <w:rFonts w:ascii="Arial" w:hAnsi="Arial" w:cs="Arial"/>
          <w:sz w:val="22"/>
          <w:szCs w:val="22"/>
        </w:rPr>
      </w:pPr>
      <w:r w:rsidRPr="503DC450">
        <w:rPr>
          <w:rFonts w:ascii="Arial" w:hAnsi="Arial" w:cs="Arial"/>
          <w:b/>
          <w:bCs/>
          <w:sz w:val="22"/>
          <w:szCs w:val="22"/>
        </w:rPr>
        <w:t xml:space="preserve">• </w:t>
      </w:r>
      <w:r w:rsidRPr="503DC450">
        <w:rPr>
          <w:rFonts w:ascii="Arial" w:hAnsi="Arial" w:cs="Arial"/>
          <w:b/>
          <w:bCs/>
          <w:sz w:val="22"/>
          <w:szCs w:val="22"/>
        </w:rPr>
        <w:t>L</w:t>
      </w:r>
      <w:r w:rsidRPr="503DC450">
        <w:rPr>
          <w:rFonts w:ascii="Arial" w:hAnsi="Arial" w:cs="Arial"/>
          <w:b/>
          <w:bCs/>
          <w:sz w:val="22"/>
          <w:szCs w:val="22"/>
        </w:rPr>
        <w:t>inkedIn Learning</w:t>
      </w:r>
      <w:r w:rsidRPr="503DC450">
        <w:rPr>
          <w:rFonts w:ascii="Arial" w:hAnsi="Arial" w:cs="Arial"/>
          <w:sz w:val="22"/>
          <w:szCs w:val="22"/>
        </w:rPr>
        <w:t xml:space="preserve"> – </w:t>
      </w:r>
      <w:r w:rsidRPr="503DC450">
        <w:rPr>
          <w:rFonts w:ascii="Arial" w:hAnsi="Arial" w:cs="Arial"/>
          <w:sz w:val="22"/>
          <w:szCs w:val="22"/>
        </w:rPr>
        <w:t>a</w:t>
      </w:r>
      <w:r w:rsidRPr="503DC450">
        <w:rPr>
          <w:rFonts w:ascii="Arial" w:hAnsi="Arial" w:cs="Arial"/>
          <w:sz w:val="22"/>
          <w:szCs w:val="22"/>
        </w:rPr>
        <w:t>ll</w:t>
      </w:r>
      <w:r w:rsidRPr="503DC450">
        <w:rPr>
          <w:rFonts w:ascii="Arial" w:hAnsi="Arial" w:cs="Arial"/>
          <w:sz w:val="22"/>
          <w:szCs w:val="22"/>
        </w:rPr>
        <w:t xml:space="preserve"> </w:t>
      </w:r>
      <w:r w:rsidRPr="503DC450">
        <w:rPr>
          <w:rFonts w:ascii="Arial" w:hAnsi="Arial" w:cs="Arial"/>
          <w:sz w:val="22"/>
          <w:szCs w:val="22"/>
        </w:rPr>
        <w:t>courses based in the Kingston School of Art offer students free access to the online video tutorial platform L</w:t>
      </w:r>
      <w:r w:rsidRPr="503DC450">
        <w:rPr>
          <w:rFonts w:ascii="Arial" w:hAnsi="Arial" w:cs="Arial"/>
          <w:sz w:val="22"/>
          <w:szCs w:val="22"/>
        </w:rPr>
        <w:t>inkedIn Learning</w:t>
      </w:r>
      <w:r w:rsidRPr="503DC450">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jc w:val="both"/>
        <w:rPr>
          <w:rFonts w:ascii="Arial" w:hAnsi="Arial" w:cs="Arial"/>
          <w:sz w:val="22"/>
          <w:szCs w:val="22"/>
        </w:rPr>
      </w:pPr>
      <w:r w:rsidRPr="503DC450">
        <w:rPr>
          <w:rFonts w:ascii="Arial" w:hAnsi="Arial" w:cs="Arial"/>
          <w:b/>
          <w:bCs/>
          <w:sz w:val="22"/>
          <w:szCs w:val="22"/>
        </w:rPr>
        <w:t>•</w:t>
      </w:r>
      <w:r w:rsidRPr="503DC450">
        <w:rPr>
          <w:rFonts w:ascii="Arial" w:hAnsi="Arial" w:cs="Arial"/>
          <w:b/>
          <w:bCs/>
          <w:sz w:val="22"/>
          <w:szCs w:val="22"/>
        </w:rPr>
        <w:t xml:space="preserve"> Work Placement – </w:t>
      </w:r>
      <w:r w:rsidRPr="503DC450">
        <w:rPr>
          <w:rFonts w:ascii="Arial" w:hAnsi="Arial" w:cs="Arial"/>
          <w:sz w:val="22"/>
          <w:szCs w:val="22"/>
        </w:rPr>
        <w:t>t</w:t>
      </w:r>
      <w:r w:rsidRPr="503DC450">
        <w:rPr>
          <w:rFonts w:ascii="Arial" w:hAnsi="Arial" w:cs="Arial"/>
          <w:sz w:val="22"/>
          <w:szCs w:val="22"/>
        </w:rPr>
        <w:t>he</w:t>
      </w:r>
      <w:r w:rsidRPr="503DC450">
        <w:rPr>
          <w:rFonts w:ascii="Arial" w:hAnsi="Arial" w:cs="Arial"/>
          <w:sz w:val="22"/>
          <w:szCs w:val="22"/>
        </w:rPr>
        <w:t> </w:t>
      </w:r>
      <w:r w:rsidRPr="503DC450">
        <w:rPr>
          <w:rFonts w:ascii="Arial" w:hAnsi="Arial" w:cs="Arial"/>
          <w:sz w:val="22"/>
          <w:szCs w:val="22"/>
        </w:rPr>
        <w:t xml:space="preserve">integrated work placement is primarily reliant on independent activity on the part of the student, with some support from their tutor. </w:t>
      </w:r>
      <w:r w:rsidRPr="503DC450">
        <w:rPr>
          <w:rFonts w:ascii="Arial" w:hAnsi="Arial" w:cs="Arial"/>
          <w:sz w:val="22"/>
          <w:szCs w:val="22"/>
        </w:rPr>
        <w:t> </w:t>
      </w:r>
      <w:r w:rsidRPr="503DC450">
        <w:rPr>
          <w:rFonts w:ascii="Arial" w:hAnsi="Arial" w:cs="Arial"/>
          <w:sz w:val="22"/>
          <w:szCs w:val="22"/>
        </w:rPr>
        <w:t xml:space="preserve">During the period of the placement(s) students will be supervised (online) by a tutor who, if possible, will visit during the placement. Depending on the location of the placement, meetings might take place face-to-face or via platforms such as </w:t>
      </w:r>
      <w:r w:rsidRPr="503DC450">
        <w:rPr>
          <w:rFonts w:ascii="Arial" w:hAnsi="Arial" w:cs="Arial"/>
          <w:sz w:val="22"/>
          <w:szCs w:val="22"/>
        </w:rPr>
        <w:t>Microsoft Teams</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The placement</w:t>
      </w:r>
      <w:r w:rsidRPr="503DC450">
        <w:rPr>
          <w:rFonts w:ascii="Arial" w:hAnsi="Arial" w:cs="Arial"/>
          <w:sz w:val="22"/>
          <w:szCs w:val="22"/>
        </w:rPr>
        <w:t> </w:t>
      </w:r>
      <w:r w:rsidRPr="503DC450">
        <w:rPr>
          <w:rFonts w:ascii="Arial" w:hAnsi="Arial" w:cs="Arial"/>
          <w:sz w:val="22"/>
          <w:szCs w:val="22"/>
        </w:rPr>
        <w:t>module will make use of the Virtual Learning Environment (VLE) Canvas for communication and dissemination of information between students and staff as well as making online learning materials available</w:t>
      </w:r>
      <w:r w:rsidRPr="503DC450">
        <w:rPr>
          <w:rFonts w:ascii="Arial" w:hAnsi="Arial" w:cs="Arial"/>
          <w:sz w:val="22"/>
          <w:szCs w:val="22"/>
        </w:rPr>
        <w:t>,</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b/>
          <w:bCs/>
          <w:sz w:val="22"/>
          <w:szCs w:val="22"/>
        </w:rPr>
        <w:t> The Personal Tutor Scheme</w:t>
      </w:r>
      <w:r w:rsidRPr="503DC450">
        <w:rPr>
          <w:rFonts w:ascii="Arial" w:hAnsi="Arial" w:cs="Arial"/>
          <w:sz w:val="22"/>
          <w:szCs w:val="22"/>
        </w:rPr>
        <w:t xml:space="preserve"> </w:t>
      </w:r>
    </w:p>
    <w:p w:rsidRPr="503DC450" w:rsidP="00B40E99">
      <w:pPr>
        <w:jc w:val="both"/>
        <w:rPr>
          <w:rFonts w:ascii="Arial" w:hAnsi="Arial" w:cs="Arial"/>
          <w:sz w:val="22"/>
          <w:szCs w:val="22"/>
        </w:rPr>
      </w:pPr>
      <w:r w:rsidRPr="503DC450">
        <w:rPr>
          <w:rFonts w:ascii="Arial" w:hAnsi="Arial" w:cs="Arial"/>
          <w:sz w:val="22"/>
          <w:szCs w:val="22"/>
        </w:rPr>
        <w:t>The</w:t>
      </w:r>
      <w:r w:rsidRPr="503DC450">
        <w:rPr>
          <w:rFonts w:ascii="Arial" w:hAnsi="Arial" w:cs="Arial"/>
          <w:sz w:val="22"/>
          <w:szCs w:val="22"/>
        </w:rPr>
        <w:t> </w:t>
      </w:r>
      <w:r w:rsidRPr="503DC450">
        <w:rPr>
          <w:rFonts w:ascii="Arial" w:hAnsi="Arial" w:cs="Arial"/>
          <w:sz w:val="22"/>
          <w:szCs w:val="22"/>
        </w:rPr>
        <w:t>Aims of the Personal Tutor Scheme: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To provide appropriate academic advice and guidance throughout a student’s studies by monitoring progress and identifying individual needs.</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To provide </w:t>
      </w:r>
      <w:r w:rsidRPr="503DC450">
        <w:rPr>
          <w:rFonts w:ascii="Arial" w:hAnsi="Arial" w:cs="Arial"/>
          <w:sz w:val="22"/>
          <w:szCs w:val="22"/>
        </w:rPr>
        <w:t>an</w:t>
      </w:r>
      <w:r w:rsidRPr="503DC450">
        <w:rPr>
          <w:rFonts w:ascii="Arial" w:hAnsi="Arial" w:cs="Arial"/>
          <w:sz w:val="22"/>
          <w:szCs w:val="22"/>
        </w:rPr>
        <w:t xml:space="preserve"> holistic overview and guidance for individual study and the development of personal practice.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To provide a </w:t>
      </w:r>
      <w:r w:rsidRPr="503DC450">
        <w:rPr>
          <w:rFonts w:ascii="Arial" w:hAnsi="Arial" w:cs="Arial"/>
          <w:sz w:val="22"/>
          <w:szCs w:val="22"/>
        </w:rPr>
        <w:t>formalised</w:t>
      </w:r>
      <w:r w:rsidRPr="503DC450">
        <w:rPr>
          <w:rFonts w:ascii="Arial" w:hAnsi="Arial" w:cs="Arial"/>
          <w:sz w:val="22"/>
          <w:szCs w:val="22"/>
        </w:rPr>
        <w:t xml:space="preserve"> structure for the ongoing process of formative feedback and personal development embedded in studio culture and teaching.</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To help to develop a student’s ability to be self-reliant and reflective and their ability to use feedback/feed forward to best advantage.</w:t>
      </w:r>
    </w:p>
    <w:p w:rsidRPr="503DC450" w:rsidP="00B40E99">
      <w:pPr>
        <w:jc w:val="both"/>
        <w:rPr>
          <w:rFonts w:ascii="Arial" w:hAnsi="Arial" w:cs="Arial"/>
          <w:sz w:val="22"/>
          <w:szCs w:val="22"/>
        </w:rPr>
      </w:pPr>
      <w:r w:rsidRPr="503DC450">
        <w:rPr>
          <w:rFonts w:ascii="Arial" w:hAnsi="Arial" w:cs="Arial"/>
          <w:b/>
          <w:bCs/>
          <w:sz w:val="22"/>
          <w:szCs w:val="22"/>
        </w:rPr>
        <w:t>Key Features of the Personal Tutor scheme: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Personal Tutors will be allocated at the beginning of the academic year.</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The introductory/welcome tutorial meeting will occur at the beginning of the academic year. Subsequent tutorials will follow and respond to key/stages in the academic year.</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Students will keep the same personal tutor throughout their year/s of study.</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One-to-one meetings will vary in length depending on the profile and needs of individual students.</w:t>
      </w:r>
    </w:p>
    <w:p w:rsidRPr="503DC450" w:rsidP="00B40E99">
      <w:pPr>
        <w:jc w:val="both"/>
        <w:rPr>
          <w:rFonts w:ascii="Arial" w:hAnsi="Arial" w:cs="Arial"/>
          <w:sz w:val="22"/>
          <w:szCs w:val="22"/>
        </w:rPr>
      </w:pPr>
      <w:r w:rsidRPr="503DC450">
        <w:rPr>
          <w:rFonts w:ascii="Arial" w:hAnsi="Arial" w:cs="Arial"/>
          <w:sz w:val="22"/>
          <w:szCs w:val="22"/>
        </w:rPr>
        <w:t xml:space="preserve">The School </w:t>
      </w:r>
      <w:r w:rsidRPr="503DC450">
        <w:rPr>
          <w:rFonts w:ascii="Arial" w:hAnsi="Arial" w:cs="Arial"/>
          <w:sz w:val="22"/>
          <w:szCs w:val="22"/>
        </w:rPr>
        <w:t xml:space="preserve">of Art &amp; Design History </w:t>
      </w:r>
      <w:r w:rsidRPr="503DC450">
        <w:rPr>
          <w:rFonts w:ascii="Arial" w:hAnsi="Arial" w:cs="Arial"/>
          <w:sz w:val="22"/>
          <w:szCs w:val="22"/>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Pr="503DC450" w:rsidP="00B40E99">
      <w:pPr>
        <w:jc w:val="both"/>
        <w:rPr>
          <w:rFonts w:ascii="Arial" w:hAnsi="Arial" w:cs="Arial"/>
          <w:sz w:val="22"/>
          <w:szCs w:val="22"/>
        </w:rPr>
      </w:pPr>
      <w:r w:rsidRPr="503DC450">
        <w:rPr>
          <w:rFonts w:ascii="Arial" w:hAnsi="Arial" w:cs="Arial"/>
          <w:b/>
          <w:bCs/>
          <w:sz w:val="22"/>
          <w:szCs w:val="22"/>
        </w:rPr>
        <w:t xml:space="preserve">Level 7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To help students to make the transition to Masters level study and understand how to use feedback on the postgraduate course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To encourage students to be proactive in making links between their course and their professional and/or academic aspirations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To explore students’ research aspirations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To help students gain confidence in contributing to, and learning from, constructive peer review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To encourage students to become part of a wider disciplinary and/or professional community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To help students to prepare for the dynamics of supervision </w:t>
      </w:r>
    </w:p>
    <w:p w:rsidRPr="503DC450" w:rsidP="00B40E99">
      <w:pPr>
        <w:jc w:val="both"/>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The Design Museum as a place of learning.</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A Module L</w:t>
      </w:r>
      <w:r w:rsidRPr="503DC450">
        <w:rPr>
          <w:rFonts w:ascii="Arial" w:hAnsi="Arial" w:cs="Arial"/>
          <w:sz w:val="22"/>
          <w:szCs w:val="22"/>
        </w:rPr>
        <w:t>eader for each module</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A Course Director to help students understand the programme structure</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Personal Tutor</w:t>
      </w:r>
      <w:r w:rsidRPr="503DC450">
        <w:rPr>
          <w:rFonts w:ascii="Arial" w:hAnsi="Arial" w:cs="Arial"/>
          <w:sz w:val="22"/>
          <w:szCs w:val="22"/>
        </w:rPr>
        <w:t xml:space="preserve"> to provide academic and personal support</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Support on placements</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Technical support to advise students on IT and the use of software</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 xml:space="preserve">An induction </w:t>
      </w:r>
      <w:r w:rsidRPr="503DC450">
        <w:rPr>
          <w:rFonts w:ascii="Arial" w:hAnsi="Arial" w:cs="Arial"/>
          <w:sz w:val="22"/>
          <w:szCs w:val="22"/>
        </w:rPr>
        <w:t xml:space="preserve">and welcome </w:t>
      </w:r>
      <w:r w:rsidRPr="503DC450">
        <w:rPr>
          <w:rFonts w:ascii="Arial" w:hAnsi="Arial" w:cs="Arial"/>
          <w:sz w:val="22"/>
          <w:szCs w:val="22"/>
        </w:rPr>
        <w:t>week at the beginning of each new academic session</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The VLE</w:t>
      </w:r>
      <w:r w:rsidRPr="503DC450">
        <w:rPr>
          <w:rFonts w:ascii="Arial" w:hAnsi="Arial" w:cs="Arial"/>
          <w:sz w:val="22"/>
          <w:szCs w:val="22"/>
        </w:rPr>
        <w:t>/Canvas</w:t>
      </w:r>
      <w:r w:rsidRPr="503DC450">
        <w:rPr>
          <w:rFonts w:ascii="Arial" w:hAnsi="Arial" w:cs="Arial"/>
          <w:sz w:val="22"/>
          <w:szCs w:val="22"/>
        </w:rPr>
        <w:t xml:space="preserve"> – a versatile online interactive intranet and learning environment </w:t>
      </w:r>
      <w:r w:rsidRPr="503DC450">
        <w:rPr>
          <w:rFonts w:ascii="Arial" w:hAnsi="Arial" w:cs="Arial"/>
          <w:sz w:val="22"/>
          <w:szCs w:val="22"/>
        </w:rPr>
        <w:t>accessible both on and off-site</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L</w:t>
      </w:r>
      <w:r w:rsidRPr="503DC450">
        <w:rPr>
          <w:rFonts w:ascii="Arial" w:hAnsi="Arial" w:cs="Arial"/>
          <w:sz w:val="22"/>
          <w:szCs w:val="22"/>
        </w:rPr>
        <w:t>inkedIn Learning</w:t>
      </w:r>
      <w:r w:rsidRPr="503DC450">
        <w:rPr>
          <w:rFonts w:ascii="Arial" w:hAnsi="Arial" w:cs="Arial"/>
          <w:sz w:val="22"/>
          <w:szCs w:val="22"/>
        </w:rPr>
        <w:t xml:space="preserve"> – an online platform offering self-paced software tutorials</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 xml:space="preserve">An Academic Success </w:t>
      </w:r>
      <w:r w:rsidRPr="503DC450">
        <w:rPr>
          <w:rFonts w:ascii="Arial" w:hAnsi="Arial" w:cs="Arial"/>
          <w:sz w:val="22"/>
          <w:szCs w:val="22"/>
        </w:rPr>
        <w:t>Centre that provides academic skills support</w:t>
      </w:r>
      <w:r w:rsidRPr="503DC450">
        <w:rPr>
          <w:rFonts w:ascii="Arial" w:hAnsi="Arial" w:cs="Arial"/>
          <w:sz w:val="22"/>
          <w:szCs w:val="22"/>
        </w:rPr>
        <w:t xml:space="preserve"> for undergraduate and postgraduate students </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 xml:space="preserve">A Student </w:t>
      </w:r>
      <w:r w:rsidRPr="503DC450">
        <w:rPr>
          <w:rFonts w:ascii="Arial" w:hAnsi="Arial" w:cs="Arial"/>
          <w:sz w:val="22"/>
          <w:szCs w:val="22"/>
        </w:rPr>
        <w:t>Achievement</w:t>
      </w:r>
      <w:r w:rsidRPr="503DC450">
        <w:rPr>
          <w:rFonts w:ascii="Arial" w:hAnsi="Arial" w:cs="Arial"/>
          <w:sz w:val="22"/>
          <w:szCs w:val="22"/>
        </w:rPr>
        <w:t xml:space="preserve"> Officer</w:t>
      </w:r>
      <w:r w:rsidRPr="503DC450">
        <w:rPr>
          <w:rFonts w:ascii="Arial" w:hAnsi="Arial" w:cs="Arial"/>
          <w:sz w:val="22"/>
          <w:szCs w:val="22"/>
        </w:rPr>
        <w:t xml:space="preserve"> who provides pastoral support</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Disabled student support</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Careers and Employability Service</w:t>
      </w:r>
      <w:r w:rsidRPr="503DC450">
        <w:rPr>
          <w:rFonts w:ascii="Arial" w:hAnsi="Arial" w:cs="Arial"/>
          <w:sz w:val="22"/>
          <w:szCs w:val="22"/>
        </w:rPr>
        <w:t xml:space="preserve">s </w:t>
      </w:r>
      <w:r w:rsidRPr="503DC450">
        <w:rPr>
          <w:rFonts w:ascii="Arial" w:hAnsi="Arial" w:cs="Arial"/>
          <w:sz w:val="22"/>
          <w:szCs w:val="22"/>
        </w:rPr>
        <w:t>– will provide support for students prior t</w:t>
      </w:r>
      <w:r w:rsidRPr="503DC450">
        <w:rPr>
          <w:rFonts w:ascii="Arial" w:hAnsi="Arial" w:cs="Arial"/>
          <w:sz w:val="22"/>
          <w:szCs w:val="22"/>
        </w:rPr>
        <w:t>o undertaking work placement(s)</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Faculty-aligned Careers Advisers who run workshops, weekly drop-ins and 1:1 appointments</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Union</w:t>
      </w:r>
      <w:r w:rsidRPr="503DC450">
        <w:rPr>
          <w:rFonts w:ascii="Arial" w:hAnsi="Arial" w:cs="Arial"/>
          <w:sz w:val="22"/>
          <w:szCs w:val="22"/>
        </w:rPr>
        <w:t xml:space="preserve"> of Kingston Students</w:t>
      </w:r>
    </w:p>
    <w:p w:rsidRPr="503DC450" w:rsidP="00B40E99">
      <w:pPr>
        <w:jc w:val="both"/>
        <w:rPr>
          <w:rFonts w:ascii="Arial" w:hAnsi="Arial" w:cs="Arial"/>
          <w:sz w:val="22"/>
          <w:szCs w:val="22"/>
        </w:rPr>
      </w:pPr>
      <w:r w:rsidRPr="503DC450">
        <w:rPr>
          <w:rFonts w:ascii="Arial" w:hAnsi="Arial" w:cs="Arial"/>
          <w:sz w:val="22"/>
          <w:szCs w:val="22"/>
        </w:rPr>
        <w:t>The</w:t>
      </w:r>
      <w:r w:rsidRPr="503DC450">
        <w:rPr>
          <w:rFonts w:ascii="Arial" w:hAnsi="Arial" w:cs="Arial"/>
          <w:sz w:val="22"/>
          <w:szCs w:val="22"/>
        </w:rPr>
        <w:t xml:space="preserve"> curating course is also taught one day a week in the Design Museum educational space.</w:t>
      </w:r>
      <w:r w:rsidRPr="503DC450">
        <w:rPr>
          <w:rFonts w:ascii="Arial" w:hAnsi="Arial" w:cs="Arial"/>
          <w:sz w:val="22"/>
          <w:szCs w:val="22"/>
        </w:rPr>
        <w:t> </w:t>
      </w:r>
      <w:r w:rsidRPr="503DC450">
        <w:rPr>
          <w:rFonts w:ascii="Arial" w:hAnsi="Arial" w:cs="Arial"/>
          <w:sz w:val="22"/>
          <w:szCs w:val="22"/>
        </w:rPr>
        <w:t>The teaching spaces provide an available environment for peer-to-peer learning and group work.</w:t>
      </w:r>
      <w:r w:rsidRPr="503DC450">
        <w:rPr>
          <w:rFonts w:ascii="Arial" w:hAnsi="Arial" w:cs="Arial"/>
          <w:sz w:val="22"/>
          <w:szCs w:val="22"/>
        </w:rPr>
        <w:t xml:space="preserve"> </w:t>
      </w:r>
      <w:r w:rsidRPr="503DC450">
        <w:rPr>
          <w:rFonts w:ascii="Arial" w:hAnsi="Arial" w:cs="Arial"/>
          <w:sz w:val="22"/>
          <w:szCs w:val="22"/>
        </w:rPr>
        <w:t>It also accommodates 1:1 contact and individual learning.</w:t>
      </w:r>
      <w:r w:rsidRPr="503DC450">
        <w:rPr>
          <w:rFonts w:ascii="Arial" w:hAnsi="Arial" w:cs="Arial"/>
          <w:sz w:val="22"/>
          <w:szCs w:val="22"/>
        </w:rPr>
        <w:t xml:space="preserve"> </w:t>
      </w:r>
      <w:r w:rsidRPr="503DC450">
        <w:rPr>
          <w:rFonts w:ascii="Arial" w:hAnsi="Arial" w:cs="Arial"/>
          <w:sz w:val="22"/>
          <w:szCs w:val="22"/>
        </w:rPr>
        <w:t>A strategic programme of lectures, seminars and workshops supports the curating learning experience.</w:t>
      </w:r>
    </w:p>
    <w:p w:rsidRPr="503DC450" w:rsidP="00B40E99">
      <w:pPr>
        <w:jc w:val="both"/>
        <w:rPr>
          <w:rFonts w:ascii="Arial" w:hAnsi="Arial" w:cs="Arial"/>
          <w:sz w:val="22"/>
          <w:szCs w:val="22"/>
        </w:rPr>
      </w:pPr>
      <w:r w:rsidRPr="503DC450">
        <w:rPr>
          <w:rFonts w:ascii="Arial" w:hAnsi="Arial" w:cs="Arial"/>
          <w:b/>
          <w:bCs/>
          <w:sz w:val="22"/>
          <w:szCs w:val="22"/>
        </w:rPr>
        <w:t>Staff Structure</w:t>
      </w:r>
      <w:r w:rsidRPr="503DC450">
        <w:rPr>
          <w:rFonts w:ascii="Arial" w:hAnsi="Arial" w:cs="Arial"/>
          <w:b/>
          <w:bCs/>
          <w:sz w:val="22"/>
          <w:szCs w:val="22"/>
        </w:rPr>
        <w:t> </w:t>
      </w:r>
      <w:r w:rsidRPr="503DC450">
        <w:rPr>
          <w:rFonts w:ascii="Arial" w:hAnsi="Arial" w:cs="Arial"/>
          <w:sz w:val="22"/>
          <w:szCs w:val="22"/>
        </w:rPr>
        <w:t>The staff support structure maps to the studio system.</w:t>
      </w:r>
      <w:r w:rsidRPr="503DC450">
        <w:rPr>
          <w:rFonts w:ascii="Arial" w:hAnsi="Arial" w:cs="Arial"/>
          <w:sz w:val="22"/>
          <w:szCs w:val="22"/>
        </w:rPr>
        <w:t> </w:t>
      </w:r>
      <w:r w:rsidRPr="503DC450">
        <w:rPr>
          <w:rFonts w:ascii="Arial" w:hAnsi="Arial" w:cs="Arial"/>
          <w:sz w:val="22"/>
          <w:szCs w:val="22"/>
        </w:rPr>
        <w:t xml:space="preserve">Course Directors co-ordinate the course and studio space. They are operational figureheads who work together with staff teams and </w:t>
      </w:r>
      <w:r w:rsidRPr="503DC450">
        <w:rPr>
          <w:rFonts w:ascii="Arial" w:hAnsi="Arial" w:cs="Arial"/>
          <w:sz w:val="22"/>
          <w:szCs w:val="22"/>
        </w:rPr>
        <w:t>Hourly Paid Lecturers [HPLs] (incorporating Module Leaders</w:t>
      </w:r>
      <w:r w:rsidRPr="503DC450">
        <w:rPr>
          <w:rFonts w:ascii="Arial" w:hAnsi="Arial" w:cs="Arial"/>
          <w:sz w:val="22"/>
          <w:szCs w:val="22"/>
        </w:rPr>
        <w:t>) to deliver the appropriate learning and teaching experience.</w:t>
      </w:r>
      <w:r w:rsidRPr="503DC450">
        <w:rPr>
          <w:rFonts w:ascii="Arial" w:hAnsi="Arial" w:cs="Arial"/>
          <w:sz w:val="22"/>
          <w:szCs w:val="22"/>
        </w:rPr>
        <w:t> </w:t>
      </w:r>
      <w:r w:rsidRPr="503DC450">
        <w:rPr>
          <w:rFonts w:ascii="Arial" w:hAnsi="Arial" w:cs="Arial"/>
          <w:sz w:val="22"/>
          <w:szCs w:val="22"/>
        </w:rPr>
        <w:t xml:space="preserve">Staff members mediate this experience across each stage of the course, moving from an explicit to implicit role in students’ development, enabling students to learn how to learn and become more progressively independent. </w:t>
      </w:r>
    </w:p>
    <w:p w:rsidRPr="503DC450" w:rsidP="00B40E99">
      <w:pPr>
        <w:jc w:val="both"/>
        <w:rPr>
          <w:rFonts w:ascii="Arial" w:hAnsi="Arial" w:cs="Arial"/>
          <w:sz w:val="22"/>
          <w:szCs w:val="22"/>
        </w:rPr>
      </w:pPr>
      <w:r w:rsidRPr="503DC450">
        <w:rPr>
          <w:rFonts w:ascii="Arial" w:hAnsi="Arial" w:cs="Arial"/>
          <w:b/>
          <w:bCs/>
          <w:sz w:val="22"/>
          <w:szCs w:val="22"/>
        </w:rPr>
        <w:t xml:space="preserve">Infrastructure </w:t>
      </w:r>
      <w:r w:rsidRPr="503DC450">
        <w:rPr>
          <w:rFonts w:ascii="Arial" w:hAnsi="Arial" w:cs="Arial"/>
          <w:sz w:val="22"/>
          <w:szCs w:val="22"/>
        </w:rPr>
        <w:t>The School adopts an infrastructure of learning support means beyond the immediacy of academic courses.</w:t>
      </w:r>
      <w:r w:rsidRPr="503DC450">
        <w:rPr>
          <w:rFonts w:ascii="Arial" w:hAnsi="Arial" w:cs="Arial"/>
          <w:sz w:val="22"/>
          <w:szCs w:val="22"/>
        </w:rPr>
        <w:t> </w:t>
      </w:r>
      <w:r w:rsidRPr="503DC450">
        <w:rPr>
          <w:rFonts w:ascii="Arial" w:hAnsi="Arial" w:cs="Arial"/>
          <w:sz w:val="22"/>
          <w:szCs w:val="22"/>
        </w:rPr>
        <w:t>These broa</w:t>
      </w:r>
      <w:r w:rsidRPr="503DC450">
        <w:rPr>
          <w:rFonts w:ascii="Arial" w:hAnsi="Arial" w:cs="Arial"/>
          <w:sz w:val="22"/>
          <w:szCs w:val="22"/>
        </w:rPr>
        <w:t xml:space="preserve">dly divide into key mechanisms </w:t>
      </w:r>
      <w:r w:rsidRPr="503DC450">
        <w:rPr>
          <w:rFonts w:ascii="Arial" w:hAnsi="Arial" w:cs="Arial"/>
          <w:sz w:val="22"/>
          <w:szCs w:val="22"/>
        </w:rPr>
        <w:t>and enhancement opportunities, including:</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Up-to-date knowledge of relevant University systems and procedures</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Student Support Office</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NUS (National Union of Students)</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Mentoring Scheme</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R</w:t>
      </w:r>
      <w:r w:rsidRPr="503DC450">
        <w:rPr>
          <w:rFonts w:ascii="Arial" w:hAnsi="Arial" w:cs="Arial"/>
          <w:sz w:val="22"/>
          <w:szCs w:val="22"/>
        </w:rPr>
        <w:t>PCL (</w:t>
      </w:r>
      <w:r w:rsidRPr="503DC450">
        <w:rPr>
          <w:rFonts w:ascii="Arial" w:hAnsi="Arial" w:cs="Arial"/>
          <w:sz w:val="22"/>
          <w:szCs w:val="22"/>
        </w:rPr>
        <w:t>Recognition</w:t>
      </w:r>
      <w:r w:rsidRPr="503DC450">
        <w:rPr>
          <w:rFonts w:ascii="Arial" w:hAnsi="Arial" w:cs="Arial"/>
          <w:sz w:val="22"/>
          <w:szCs w:val="22"/>
        </w:rPr>
        <w:t xml:space="preserve"> of Prior</w:t>
      </w:r>
      <w:r w:rsidRPr="503DC450">
        <w:rPr>
          <w:rFonts w:ascii="Arial" w:hAnsi="Arial" w:cs="Arial"/>
          <w:sz w:val="22"/>
          <w:szCs w:val="22"/>
        </w:rPr>
        <w:t xml:space="preserve"> Certificated Learning) / R</w:t>
      </w:r>
      <w:r w:rsidRPr="503DC450">
        <w:rPr>
          <w:rFonts w:ascii="Arial" w:hAnsi="Arial" w:cs="Arial"/>
          <w:sz w:val="22"/>
          <w:szCs w:val="22"/>
        </w:rPr>
        <w:t>PEL (</w:t>
      </w:r>
      <w:r w:rsidRPr="503DC450">
        <w:rPr>
          <w:rFonts w:ascii="Arial" w:hAnsi="Arial" w:cs="Arial"/>
          <w:sz w:val="22"/>
          <w:szCs w:val="22"/>
        </w:rPr>
        <w:t>Recognition</w:t>
      </w:r>
      <w:r w:rsidRPr="503DC450">
        <w:rPr>
          <w:rFonts w:ascii="Arial" w:hAnsi="Arial" w:cs="Arial"/>
          <w:sz w:val="22"/>
          <w:szCs w:val="22"/>
        </w:rPr>
        <w:t xml:space="preserve"> of Prior Experiential Learning) processes</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SSCC (Staff Student Consultative Committee)</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BOS (Board of Study)</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Annual Monitoring</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Erasmus Exchange programmes</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Information on Scholarships and Bursaries</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Alumni and Graduate Experience</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Coordinating Personal Tutor Scheme</w:t>
      </w:r>
    </w:p>
    <w:p w:rsidRPr="503DC450" w:rsidP="00B40E99">
      <w:pPr>
        <w:jc w:val="both"/>
        <w:rPr>
          <w:rFonts w:ascii="Arial" w:hAnsi="Arial" w:cs="Arial"/>
          <w:sz w:val="22"/>
          <w:szCs w:val="22"/>
        </w:rPr>
      </w:pPr>
      <w:r w:rsidRPr="503DC450">
        <w:rPr>
          <w:rFonts w:ascii="Arial" w:hAnsi="Arial" w:cs="Arial"/>
          <w:b/>
          <w:bCs/>
          <w:sz w:val="22"/>
          <w:szCs w:val="22"/>
        </w:rPr>
        <w:t>ASSESSMENT</w:t>
      </w:r>
    </w:p>
    <w:p w:rsidRPr="503DC450" w:rsidP="00B40E99">
      <w:pPr>
        <w:jc w:val="both"/>
        <w:rPr>
          <w:rFonts w:ascii="Arial" w:hAnsi="Arial" w:cs="Arial"/>
          <w:sz w:val="22"/>
          <w:szCs w:val="22"/>
        </w:rPr>
      </w:pPr>
      <w:r w:rsidRPr="503DC450">
        <w:rPr>
          <w:rFonts w:ascii="Arial" w:hAnsi="Arial" w:cs="Arial"/>
          <w:sz w:val="22"/>
          <w:szCs w:val="22"/>
        </w:rPr>
        <w:t>Assessment is both summative and formative.</w:t>
      </w:r>
      <w:r w:rsidRPr="503DC450">
        <w:rPr>
          <w:rFonts w:ascii="Arial" w:hAnsi="Arial" w:cs="Arial"/>
          <w:sz w:val="22"/>
          <w:szCs w:val="22"/>
        </w:rPr>
        <w:t xml:space="preserve"> </w:t>
      </w:r>
      <w:r w:rsidRPr="503DC450">
        <w:rPr>
          <w:rFonts w:ascii="Arial" w:hAnsi="Arial" w:cs="Arial"/>
          <w:sz w:val="22"/>
          <w:szCs w:val="22"/>
        </w:rPr>
        <w:t xml:space="preserve">Primarily, summative assessment is intended to identify what has been learned (assessment </w:t>
      </w:r>
      <w:r w:rsidRPr="503DC450">
        <w:rPr>
          <w:rFonts w:ascii="Arial" w:hAnsi="Arial" w:cs="Arial"/>
          <w:sz w:val="22"/>
          <w:szCs w:val="22"/>
          <w:u w:val="single"/>
        </w:rPr>
        <w:t>of</w:t>
      </w:r>
      <w:r w:rsidRPr="503DC450">
        <w:rPr>
          <w:rFonts w:ascii="Arial" w:hAnsi="Arial" w:cs="Arial"/>
          <w:sz w:val="22"/>
          <w:szCs w:val="22"/>
        </w:rPr>
        <w:t xml:space="preserve"> learning) and therefore assessed mark counts towards the module grade awarded.</w:t>
      </w:r>
      <w:r w:rsidRPr="503DC450">
        <w:rPr>
          <w:rFonts w:ascii="Arial" w:hAnsi="Arial" w:cs="Arial"/>
          <w:sz w:val="22"/>
          <w:szCs w:val="22"/>
        </w:rPr>
        <w:t xml:space="preserve"> </w:t>
      </w:r>
      <w:r w:rsidRPr="503DC450">
        <w:rPr>
          <w:rFonts w:ascii="Arial" w:hAnsi="Arial" w:cs="Arial"/>
          <w:sz w:val="22"/>
          <w:szCs w:val="22"/>
        </w:rPr>
        <w:t xml:space="preserve">Formative assessment is intended to help students to learn (assessment </w:t>
      </w:r>
      <w:r w:rsidRPr="503DC450">
        <w:rPr>
          <w:rFonts w:ascii="Arial" w:hAnsi="Arial" w:cs="Arial"/>
          <w:sz w:val="22"/>
          <w:szCs w:val="22"/>
          <w:u w:val="single"/>
        </w:rPr>
        <w:t>for</w:t>
      </w:r>
      <w:r w:rsidRPr="503DC450">
        <w:rPr>
          <w:rFonts w:ascii="Arial" w:hAnsi="Arial" w:cs="Arial"/>
          <w:sz w:val="22"/>
          <w:szCs w:val="22"/>
        </w:rPr>
        <w:t xml:space="preserve"> learning) and provides opportunities for students to identify their strengths and weaknesses, and focus on areas they need to work on and improve.</w:t>
      </w:r>
      <w:r w:rsidRPr="503DC450">
        <w:rPr>
          <w:rFonts w:ascii="Arial" w:hAnsi="Arial" w:cs="Arial"/>
          <w:sz w:val="22"/>
          <w:szCs w:val="22"/>
        </w:rPr>
        <w:t xml:space="preserve"> </w:t>
      </w:r>
      <w:r w:rsidRPr="503DC450">
        <w:rPr>
          <w:rFonts w:ascii="Arial" w:hAnsi="Arial" w:cs="Arial"/>
          <w:sz w:val="22"/>
          <w:szCs w:val="22"/>
        </w:rPr>
        <w:t>The assessment strategy and criteria are clearly described in every written brief and mapped appropriately to the module learning outcomes.</w:t>
      </w:r>
      <w:r w:rsidRPr="503DC450">
        <w:rPr>
          <w:rFonts w:ascii="Arial" w:hAnsi="Arial" w:cs="Arial"/>
          <w:sz w:val="22"/>
          <w:szCs w:val="22"/>
        </w:rPr>
        <w:t xml:space="preserve"> </w:t>
      </w:r>
      <w:r w:rsidRPr="503DC450">
        <w:rPr>
          <w:rFonts w:ascii="Arial" w:hAnsi="Arial" w:cs="Arial"/>
          <w:sz w:val="22"/>
          <w:szCs w:val="22"/>
        </w:rPr>
        <w:t>The assessment criteria are generally additionally communicated verbally at each project briefing.</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ind w:left="360"/>
        <w:jc w:val="both"/>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include:</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External E</w:t>
      </w:r>
      <w:r w:rsidRPr="503DC450">
        <w:rPr>
          <w:rFonts w:ascii="Arial" w:hAnsi="Arial" w:cs="Arial"/>
          <w:sz w:val="22"/>
          <w:szCs w:val="22"/>
        </w:rPr>
        <w:t>xaminers</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Boards of S</w:t>
      </w:r>
      <w:r w:rsidRPr="503DC450">
        <w:rPr>
          <w:rFonts w:ascii="Arial" w:hAnsi="Arial" w:cs="Arial"/>
          <w:sz w:val="22"/>
          <w:szCs w:val="22"/>
        </w:rPr>
        <w:t>tudy with student representation</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 xml:space="preserve">Annual </w:t>
      </w:r>
      <w:r w:rsidRPr="503DC450">
        <w:rPr>
          <w:rFonts w:ascii="Arial" w:hAnsi="Arial" w:cs="Arial"/>
          <w:sz w:val="22"/>
          <w:szCs w:val="22"/>
        </w:rPr>
        <w:t>Monitoring and Enhancement</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Student evaluation</w:t>
      </w:r>
      <w:r w:rsidRPr="503DC450">
        <w:rPr>
          <w:rFonts w:ascii="Arial" w:hAnsi="Arial" w:cs="Arial"/>
          <w:sz w:val="22"/>
          <w:szCs w:val="22"/>
        </w:rPr>
        <w:t xml:space="preserve"> including </w:t>
      </w:r>
      <w:r w:rsidRPr="503DC450">
        <w:rPr>
          <w:rFonts w:ascii="Arial" w:hAnsi="Arial" w:cs="Arial"/>
          <w:sz w:val="22"/>
          <w:szCs w:val="22"/>
        </w:rPr>
        <w:t>Module Evaluation Questionnaires (</w:t>
      </w:r>
      <w:r w:rsidRPr="503DC450">
        <w:rPr>
          <w:rFonts w:ascii="Arial" w:hAnsi="Arial" w:cs="Arial"/>
          <w:sz w:val="22"/>
          <w:szCs w:val="22"/>
        </w:rPr>
        <w:t>MEQs</w:t>
      </w:r>
      <w:r w:rsidRPr="503DC450">
        <w:rPr>
          <w:rFonts w:ascii="Arial" w:hAnsi="Arial" w:cs="Arial"/>
          <w:sz w:val="22"/>
          <w:szCs w:val="22"/>
        </w:rPr>
        <w:t>)</w:t>
      </w:r>
      <w:r w:rsidRPr="503DC450">
        <w:rPr>
          <w:rFonts w:ascii="Arial" w:hAnsi="Arial" w:cs="Arial"/>
          <w:sz w:val="22"/>
          <w:szCs w:val="22"/>
        </w:rPr>
        <w:t xml:space="preserve"> and </w:t>
      </w:r>
      <w:r w:rsidRPr="503DC450">
        <w:rPr>
          <w:rFonts w:ascii="Arial" w:hAnsi="Arial" w:cs="Arial"/>
          <w:sz w:val="22"/>
          <w:szCs w:val="22"/>
        </w:rPr>
        <w:t>a Postgraduate Survey</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Feedback from employers</w:t>
      </w:r>
    </w:p>
    <w:p w:rsidRPr="503DC450" w:rsidP="00A92C9B">
      <w:pPr>
        <w:jc w:val="both"/>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ind w:left="360"/>
        <w:jc w:val="both"/>
        <w:rPr>
          <w:rFonts w:ascii="Arial" w:hAnsi="Arial" w:cs="Arial"/>
          <w:sz w:val="22"/>
          <w:szCs w:val="22"/>
        </w:rPr>
      </w:pPr>
      <w:r w:rsidRPr="503DC450">
        <w:rPr>
          <w:rFonts w:ascii="Arial" w:hAnsi="Arial" w:cs="Arial"/>
          <w:sz w:val="22"/>
          <w:szCs w:val="22"/>
        </w:rPr>
        <w:t>All courses in the</w:t>
      </w:r>
      <w:r w:rsidRPr="503DC450">
        <w:rPr>
          <w:rFonts w:ascii="Arial" w:hAnsi="Arial" w:cs="Arial"/>
          <w:sz w:val="22"/>
          <w:szCs w:val="22"/>
        </w:rPr>
        <w:t xml:space="preserve"> School </w:t>
      </w:r>
      <w:r w:rsidRPr="503DC450">
        <w:rPr>
          <w:rFonts w:ascii="Arial" w:hAnsi="Arial" w:cs="Arial"/>
          <w:sz w:val="22"/>
          <w:szCs w:val="22"/>
        </w:rPr>
        <w:t xml:space="preserve">of </w:t>
      </w:r>
      <w:r w:rsidRPr="503DC450">
        <w:rPr>
          <w:rFonts w:ascii="Arial" w:hAnsi="Arial" w:cs="Arial"/>
          <w:sz w:val="22"/>
          <w:szCs w:val="22"/>
        </w:rPr>
        <w:t>Critical Studies &amp; Creative Industries</w:t>
      </w:r>
      <w:r w:rsidRPr="503DC450">
        <w:rPr>
          <w:rFonts w:ascii="Arial" w:hAnsi="Arial" w:cs="Arial"/>
          <w:sz w:val="22"/>
          <w:szCs w:val="22"/>
        </w:rPr>
        <w:t xml:space="preserve"> </w:t>
      </w:r>
      <w:r w:rsidRPr="503DC450">
        <w:rPr>
          <w:rFonts w:ascii="Arial" w:hAnsi="Arial" w:cs="Arial"/>
          <w:sz w:val="22"/>
          <w:szCs w:val="22"/>
        </w:rPr>
        <w:t>address the issue of employability through engaging directly with industry and external partners and institutions. This is supported in course teaching by the professional and industrial expertise of course teams as well as visiting specialist practitioners.</w:t>
      </w:r>
      <w:r w:rsidRPr="503DC450">
        <w:rPr>
          <w:rFonts w:ascii="Arial" w:hAnsi="Arial" w:cs="Arial"/>
          <w:sz w:val="22"/>
          <w:szCs w:val="22"/>
        </w:rPr>
        <w:t xml:space="preserve"> </w:t>
      </w:r>
      <w:r w:rsidRPr="503DC450">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rsidRPr="503DC450" w:rsidP="001A372B">
      <w:pPr>
        <w:ind w:left="360"/>
        <w:jc w:val="both"/>
        <w:rPr>
          <w:rFonts w:ascii="Arial" w:hAnsi="Arial" w:cs="Arial"/>
          <w:sz w:val="22"/>
          <w:szCs w:val="22"/>
        </w:rPr>
      </w:pPr>
      <w:r w:rsidRPr="503DC450">
        <w:rPr>
          <w:rFonts w:ascii="Arial" w:hAnsi="Arial" w:cs="Arial"/>
          <w:sz w:val="22"/>
          <w:szCs w:val="22"/>
        </w:rPr>
        <w:t>The course and School have strong and well-established links to industry</w:t>
      </w:r>
      <w:r w:rsidRPr="503DC450">
        <w:rPr>
          <w:rFonts w:ascii="Arial" w:hAnsi="Arial" w:cs="Arial"/>
          <w:sz w:val="22"/>
          <w:szCs w:val="22"/>
        </w:rPr>
        <w:t xml:space="preserve"> both nationally and internationally. This is significant for the course as a high percentage</w:t>
      </w:r>
      <w:r w:rsidRPr="503DC450">
        <w:rPr>
          <w:rFonts w:ascii="Arial" w:hAnsi="Arial" w:cs="Arial"/>
          <w:sz w:val="22"/>
          <w:szCs w:val="22"/>
        </w:rPr>
        <w:t xml:space="preserve"> of students are from and, </w:t>
      </w:r>
      <w:r w:rsidRPr="503DC450">
        <w:rPr>
          <w:rFonts w:ascii="Arial" w:hAnsi="Arial" w:cs="Arial"/>
          <w:sz w:val="22"/>
          <w:szCs w:val="22"/>
        </w:rPr>
        <w:t>post-</w:t>
      </w:r>
      <w:r w:rsidRPr="503DC450">
        <w:rPr>
          <w:rFonts w:ascii="Arial" w:hAnsi="Arial" w:cs="Arial"/>
          <w:sz w:val="22"/>
          <w:szCs w:val="22"/>
        </w:rPr>
        <w:t>graduation</w:t>
      </w:r>
      <w:r w:rsidRPr="503DC450">
        <w:rPr>
          <w:rFonts w:ascii="Arial" w:hAnsi="Arial" w:cs="Arial"/>
          <w:sz w:val="22"/>
          <w:szCs w:val="22"/>
        </w:rPr>
        <w:t>, return to a wide range of international locations. Modules within the course structure are intended to address the changing nature of curating design and the emerging global workplace.</w:t>
      </w:r>
      <w:r w:rsidRPr="503DC450">
        <w:rPr>
          <w:rFonts w:ascii="Arial" w:hAnsi="Arial" w:cs="Arial"/>
          <w:sz w:val="22"/>
          <w:szCs w:val="22"/>
        </w:rPr>
        <w:t xml:space="preserve"> </w:t>
      </w:r>
      <w:r w:rsidRPr="503DC450">
        <w:rPr>
          <w:rFonts w:ascii="Arial" w:hAnsi="Arial" w:cs="Arial"/>
          <w:sz w:val="22"/>
          <w:szCs w:val="22"/>
        </w:rPr>
        <w:t>The course works in collaboration with organisations and business – recent projects have been undertaken with the British Council, The National History Museum and the Architecture Foundation. The course also organises a regular programme of professional lectures and contemporary sites of curatorial practice. An additional aspect to these activities has been in the development of collaborative projects like Dream Lab with the British Council and connections with international universities such as China Academy of Art</w:t>
      </w:r>
      <w:r w:rsidRPr="503DC450">
        <w:rPr>
          <w:rFonts w:ascii="Arial" w:hAnsi="Arial" w:cs="Arial"/>
          <w:sz w:val="22"/>
          <w:szCs w:val="22"/>
        </w:rPr>
        <w:t xml:space="preserve"> and </w:t>
      </w:r>
      <w:r w:rsidRPr="503DC450">
        <w:rPr>
          <w:rFonts w:ascii="Arial" w:hAnsi="Arial" w:cs="Arial"/>
          <w:sz w:val="22"/>
          <w:szCs w:val="22"/>
        </w:rPr>
        <w:t>Hongik</w:t>
      </w:r>
      <w:r w:rsidRPr="503DC450">
        <w:rPr>
          <w:rFonts w:ascii="Arial" w:hAnsi="Arial" w:cs="Arial"/>
          <w:sz w:val="22"/>
          <w:szCs w:val="22"/>
        </w:rPr>
        <w:t xml:space="preserve"> University in Korea. </w:t>
      </w:r>
    </w:p>
    <w:p w:rsidRPr="503DC450" w:rsidP="001A372B">
      <w:pPr>
        <w:ind w:left="360"/>
        <w:jc w:val="both"/>
        <w:rPr>
          <w:rFonts w:ascii="Arial" w:hAnsi="Arial" w:cs="Arial"/>
          <w:sz w:val="22"/>
          <w:szCs w:val="22"/>
        </w:rPr>
      </w:pPr>
      <w:r w:rsidRPr="503DC450">
        <w:rPr>
          <w:rFonts w:ascii="Arial" w:hAnsi="Arial" w:cs="Arial"/>
          <w:sz w:val="22"/>
          <w:szCs w:val="22"/>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w:t>
      </w:r>
      <w:r w:rsidRPr="503DC450">
        <w:rPr>
          <w:rFonts w:ascii="Arial" w:hAnsi="Arial" w:cs="Arial"/>
          <w:sz w:val="22"/>
          <w:szCs w:val="22"/>
        </w:rPr>
        <w:t xml:space="preserve">s </w:t>
      </w:r>
      <w:r w:rsidRPr="503DC450">
        <w:rPr>
          <w:rFonts w:ascii="Arial" w:hAnsi="Arial" w:cs="Arial"/>
          <w:sz w:val="22"/>
          <w:szCs w:val="22"/>
        </w:rPr>
        <w:t>team, providing drop-in and scheduled events to support students in the preparation of CVs, applications, and preparation for interviews and assessment centres.</w:t>
      </w:r>
    </w:p>
    <w:p w:rsidRPr="503DC450" w:rsidP="001A372B">
      <w:pPr>
        <w:jc w:val="both"/>
        <w:rPr>
          <w:rFonts w:ascii="Arial" w:hAnsi="Arial" w:cs="Arial"/>
          <w:sz w:val="22"/>
          <w:szCs w:val="22"/>
        </w:rPr>
      </w:pPr>
      <w:r w:rsidRPr="503DC450">
        <w:rPr>
          <w:rFonts w:ascii="Arial" w:hAnsi="Arial" w:cs="Arial"/>
          <w:i/>
          <w:iCs/>
          <w:sz w:val="22"/>
          <w:szCs w:val="22"/>
        </w:rPr>
        <w: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jc w:val="both"/>
        <w:rPr>
          <w:rFonts w:ascii="Arial" w:hAnsi="Arial" w:cs="Arial"/>
          <w:sz w:val="22"/>
          <w:szCs w:val="22"/>
        </w:rPr>
      </w:pPr>
      <w:r w:rsidRPr="503DC450">
        <w:rPr>
          <w:rFonts w:ascii="Arial" w:hAnsi="Arial" w:cs="Arial"/>
          <w:sz w:val="22"/>
          <w:szCs w:val="22"/>
        </w:rPr>
        <w:t>Work placement is an integral part of the 2</w:t>
      </w:r>
      <w:r w:rsidRPr="503DC450">
        <w:rPr>
          <w:rFonts w:ascii="Arial" w:hAnsi="Arial" w:cs="Arial"/>
          <w:sz w:val="22"/>
          <w:szCs w:val="22"/>
        </w:rPr>
        <w:t>-</w:t>
      </w:r>
      <w:r w:rsidRPr="503DC450">
        <w:rPr>
          <w:rFonts w:ascii="Arial" w:hAnsi="Arial" w:cs="Arial"/>
          <w:sz w:val="22"/>
          <w:szCs w:val="22"/>
        </w:rPr>
        <w:t xml:space="preserve">year programme and students will receive support from the award winning </w:t>
      </w:r>
      <w:r w:rsidRPr="503DC450">
        <w:rPr>
          <w:rFonts w:ascii="Arial" w:hAnsi="Arial" w:cs="Arial"/>
          <w:sz w:val="22"/>
          <w:szCs w:val="22"/>
        </w:rPr>
        <w:t>Careers and Employability Service</w:t>
      </w:r>
      <w:r w:rsidRPr="503DC450">
        <w:rPr>
          <w:rFonts w:ascii="Arial" w:hAnsi="Arial" w:cs="Arial"/>
          <w:sz w:val="22"/>
          <w:szCs w:val="22"/>
        </w:rPr>
        <w:t xml:space="preserve">s </w:t>
      </w:r>
      <w:r w:rsidRPr="503DC450">
        <w:rPr>
          <w:rFonts w:ascii="Arial" w:hAnsi="Arial" w:cs="Arial"/>
          <w:sz w:val="22"/>
          <w:szCs w:val="22"/>
        </w:rPr>
        <w:t>team.</w:t>
      </w:r>
    </w:p>
    <w:p w:rsidRPr="503DC450" w:rsidP="00A92C9B">
      <w:pPr>
        <w:jc w:val="both"/>
        <w:rPr>
          <w:rFonts w:ascii="Arial" w:hAnsi="Arial" w:cs="Arial"/>
          <w:sz w:val="22"/>
          <w:szCs w:val="22"/>
        </w:rPr>
      </w:pPr>
      <w:r w:rsidRPr="503DC450">
        <w:rPr>
          <w:rFonts w:ascii="Arial" w:hAnsi="Arial" w:cs="Arial"/>
          <w:sz w:val="22"/>
          <w:szCs w:val="22"/>
        </w:rPr>
        <w:t xml:space="preserve">While it is the responsibility of individual students to secure appropriate placements, the </w:t>
      </w:r>
      <w:r w:rsidRPr="503DC450">
        <w:rPr>
          <w:rFonts w:ascii="Arial" w:hAnsi="Arial" w:cs="Arial"/>
          <w:sz w:val="22"/>
          <w:szCs w:val="22"/>
        </w:rPr>
        <w:t>Careers and Employability Service</w:t>
      </w:r>
      <w:r w:rsidRPr="503DC450">
        <w:rPr>
          <w:rFonts w:ascii="Arial" w:hAnsi="Arial" w:cs="Arial"/>
          <w:sz w:val="22"/>
          <w:szCs w:val="22"/>
        </w:rPr>
        <w:t>s</w:t>
      </w:r>
      <w:r w:rsidRPr="503DC450">
        <w:rPr>
          <w:rFonts w:ascii="Arial" w:hAnsi="Arial" w:cs="Arial"/>
          <w:sz w:val="22"/>
          <w:szCs w:val="22"/>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Pr="503DC450" w:rsidP="00A92C9B">
      <w:pPr>
        <w:jc w:val="both"/>
        <w:rPr>
          <w:rFonts w:ascii="Arial" w:hAnsi="Arial" w:cs="Arial"/>
          <w:sz w:val="22"/>
          <w:szCs w:val="22"/>
        </w:rPr>
      </w:pPr>
      <w:r w:rsidRPr="503DC450">
        <w:rPr>
          <w:rFonts w:ascii="Arial" w:hAnsi="Arial" w:cs="Arial"/>
          <w:sz w:val="22"/>
          <w:szCs w:val="22"/>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jc w:val="both"/>
        <w:rPr>
          <w:rFonts w:ascii="Arial" w:hAnsi="Arial" w:cs="Arial"/>
          <w:sz w:val="22"/>
          <w:szCs w:val="22"/>
        </w:rPr>
      </w:pPr>
      <w:r w:rsidRPr="503DC450">
        <w:rPr>
          <w:rFonts w:ascii="Arial" w:hAnsi="Arial" w:cs="Arial"/>
          <w:b/>
          <w:bCs/>
          <w:sz w:val="22"/>
          <w:szCs w:val="22"/>
        </w:rPr>
        <w:t>QAA Master’s Degree Characteristics 2015</w:t>
      </w:r>
    </w:p>
    <w:p w:rsidRPr="503DC450" w:rsidP="00A92C9B">
      <w:pPr>
        <w:jc w:val="both"/>
        <w:rPr>
          <w:rFonts w:ascii="Arial" w:hAnsi="Arial" w:cs="Arial"/>
          <w:sz w:val="22"/>
          <w:szCs w:val="22"/>
        </w:rPr>
      </w:pPr>
      <w:hyperlink r:id="rId12" w:history="1">
        <w:r w:rsidRPr="503DC450">
          <w:rPr>
            <w:rFonts w:ascii="Arial" w:hAnsi="Arial" w:cs="Arial"/>
            <w:sz w:val="22"/>
            <w:szCs w:val="22"/>
            <w:u w:val="single"/>
          </w:rPr>
          <w:t>http://www.qaa.ac.uk/docs/qaa/quality-code/master's-degree-characteristics-statement.pdf?sfvrsn=6ca2f981_10</w:t>
        </w:r>
      </w:hyperlink>
      <w:r w:rsidRPr="503DC450">
        <w:rPr>
          <w:rFonts w:ascii="Arial" w:hAnsi="Arial" w:cs="Arial"/>
          <w:b/>
          <w:bCs/>
          <w:sz w:val="22"/>
          <w:szCs w:val="22"/>
        </w:rPr>
        <w:t> </w:t>
      </w:r>
    </w:p>
    <w:p w:rsidRPr="503DC450" w:rsidP="00A92C9B">
      <w:pPr>
        <w:jc w:val="both"/>
        <w:rPr>
          <w:rFonts w:ascii="Arial" w:hAnsi="Arial" w:cs="Arial"/>
          <w:sz w:val="22"/>
          <w:szCs w:val="22"/>
        </w:rPr>
      </w:pPr>
      <w:r w:rsidRPr="503DC450">
        <w:rPr>
          <w:rFonts w:ascii="Arial" w:hAnsi="Arial" w:cs="Arial"/>
          <w:b/>
          <w:bCs/>
          <w:sz w:val="22"/>
          <w:szCs w:val="22"/>
        </w:rPr>
        <w:t>Course Page:</w:t>
      </w:r>
    </w:p>
    <w:p w:rsidRPr="503DC450" w:rsidP="00A92C9B">
      <w:pPr>
        <w:jc w:val="both"/>
        <w:rPr>
          <w:rFonts w:ascii="Arial" w:hAnsi="Arial" w:cs="Arial"/>
          <w:sz w:val="22"/>
          <w:szCs w:val="22"/>
        </w:rPr>
      </w:pPr>
      <w:hyperlink r:id="rId13" w:history="1">
        <w:r w:rsidRPr="503DC450">
          <w:rPr>
            <w:rFonts w:ascii="Arial" w:hAnsi="Arial" w:cs="Arial"/>
            <w:sz w:val="22"/>
            <w:szCs w:val="22"/>
            <w:u w:val="single"/>
          </w:rPr>
          <w:t>http://www.kingston.ac.uk/postgraduate-course/curating-contemporary-design-ma/</w:t>
        </w:r>
      </w:hyperlink>
      <w:r w:rsidRPr="503DC450">
        <w:rPr>
          <w:rFonts w:ascii="Arial" w:hAnsi="Arial" w:cs="Arial"/>
          <w:b/>
          <w:bCs/>
          <w:sz w:val="22"/>
          <w:szCs w:val="22"/>
        </w:rPr>
        <w:t> </w:t>
      </w:r>
    </w:p>
    <w:p w:rsidRPr="503DC450" w:rsidP="00A92C9B">
      <w:pPr>
        <w:jc w:val="both"/>
        <w:rPr>
          <w:rFonts w:ascii="Arial" w:hAnsi="Arial" w:cs="Arial"/>
          <w:sz w:val="22"/>
          <w:szCs w:val="22"/>
        </w:rPr>
      </w:pPr>
      <w:r w:rsidRPr="503DC450">
        <w:rPr>
          <w:rFonts w:ascii="Arial" w:hAnsi="Arial" w:cs="Arial"/>
          <w:b/>
          <w:bCs/>
          <w:sz w:val="22"/>
          <w:szCs w:val="22"/>
        </w:rPr>
        <w:t>The Design Museum:</w:t>
      </w:r>
    </w:p>
    <w:p w:rsidRPr="503DC450" w:rsidP="00A92C9B">
      <w:pPr>
        <w:jc w:val="both"/>
        <w:rPr>
          <w:rFonts w:ascii="Arial" w:hAnsi="Arial" w:cs="Arial"/>
          <w:sz w:val="22"/>
          <w:szCs w:val="22"/>
        </w:rPr>
      </w:pPr>
      <w:hyperlink r:id="rId14" w:history="1">
        <w:r w:rsidRPr="503DC450">
          <w:rPr>
            <w:rFonts w:ascii="Arial" w:hAnsi="Arial" w:cs="Arial"/>
            <w:sz w:val="22"/>
            <w:szCs w:val="22"/>
            <w:u w:val="single"/>
          </w:rPr>
          <w:t>https://designmuseum.org/</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28"/>
        <w:gridCol w:w="795"/>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WP7002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CD7105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CD7106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CD7107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CD7108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ediumGrid21">
    <w:name w:val="MediumGrid21"/>
    <w:basedOn w:val="Normal"/>
  </w:style>
  <w:style w:type="paragraph" w:customStyle="1" w:styleId="p">
    <w:name w:val="p"/>
    <w:basedOn w:val="Normal"/>
  </w:style>
  <w:style w:type="paragraph" w:customStyle="1" w:styleId="PlainText">
    <w:name w:val="PlainText"/>
    <w:basedOn w:val="ListParagraph"/>
  </w:style>
  <w:style w:type="paragraph" w:customStyle="1" w:styleId="Body">
    <w:name w:val="Body"/>
    <w:basedOn w:val="Normal"/>
  </w:style>
  <w:style w:type="paragraph" w:customStyle="1" w:styleId="Bullet">
    <w:name w:val="Bulle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ngston.ac.uk/postgraduate-course/curating-contemporary-design-ma/"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qaa.ac.uk/docs/qaa/quality-code/master's-degree-characteristics-statement.pdf?sfvrsn=6ca2f981_10"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hyperlink" Target="https://designmuseum.org/" TargetMode="External"/><Relationship Id="rId4" Type="http://schemas.openxmlformats.org/officeDocument/2006/relationships/customXml" Target="../customXml/item1.xml"/><Relationship Id="rId9"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3508517-553D-46B4-A52A-824ABEF3A60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