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Product &amp; Furniture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3D Design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Product &amp; Furniture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(Ordinary degree)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UFPFD1PFD02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W260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3D Design,The Design School,Kingston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jc w:val="both"/>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main aims of the programme are:</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develop a range of critical, creative, technical and professional skills relevant to employment in Product and Furniture Design and related areas.</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develop</w:t>
      </w:r>
      <w:r w:rsidRPr="2030048C">
        <w:rPr>
          <w:rStyle w:val="normaltextrun"/>
          <w:rFonts w:ascii="Arial" w:eastAsia="Arial" w:hAnsi="Arial" w:cs="Arial"/>
          <w:color w:val="000000" w:themeColor="text1"/>
          <w:sz w:val="22"/>
          <w:szCs w:val="22"/>
          <w:shd w:val="clear" w:color="auto" w:fill="FFFFFF"/>
        </w:rPr>
        <w:t xml:space="preserve"> an understanding of key critical, professional, theoretical and cultural debates in the area of Product and Furniture Design.</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encourage experimentation with, and the creative use of, new and existing technologies and materials.</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develop skills in research and analysis and encourage critical reflection, intellectual risk-taking and the development of effective and appropriate communication methods.</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encourage independent and critical thinking and develop transferable skills and competencies.</w:t>
      </w:r>
    </w:p>
    <w:p w:rsidRPr="2030048C" w:rsidP="2030048C">
      <w:pPr>
        <w:pStyle w:val="p0"/>
        <w:spacing w:before="0" w:after="0"/>
        <w:ind w:left="1080" w:right="0" w:hanging="36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Symbol" w:eastAsia="Symbol" w:hAnsi="Symbol" w:cs="Symbol"/>
          <w:color w:val="000000" w:themeColor="text1"/>
          <w:sz w:val="16"/>
          <w:szCs w:val="16"/>
          <w:shd w:val="clear" w:color="auto" w:fill="FFFFFF"/>
        </w:rPr>
        <w:sym w:font="Symbol" w:char="F0A8"/>
      </w:r>
      <w:r w:rsidRPr="2030048C">
        <w:rPr>
          <w:rStyle w:val="normaltextrun"/>
          <w:rFonts w:ascii="Times New Roman" w:eastAsia="Times New Roman" w:hAnsi="Times New Roman" w:cs="Times New Roman"/>
          <w:b w:val="0"/>
          <w:bCs w:val="0"/>
          <w:i w:val="0"/>
          <w:iCs w:val="0"/>
          <w:smallCaps w:val="0"/>
          <w:color w:val="000000" w:themeColor="text1"/>
          <w:sz w:val="14"/>
          <w:szCs w:val="14"/>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 develop experience and knowledge of collaborative working methods and p</w:t>
      </w:r>
      <w:r w:rsidRPr="2030048C">
        <w:rPr>
          <w:rStyle w:val="normaltextrun"/>
          <w:rFonts w:ascii="Arial" w:eastAsia="Arial" w:hAnsi="Arial" w:cs="Arial"/>
          <w:color w:val="000000" w:themeColor="text1"/>
          <w:sz w:val="22"/>
          <w:szCs w:val="22"/>
          <w:shd w:val="clear" w:color="auto" w:fill="FFFFFF"/>
        </w:rPr>
        <w:t>rocesses within an industrially-</w:t>
      </w:r>
      <w:r w:rsidRPr="2030048C">
        <w:rPr>
          <w:rStyle w:val="normaltextrun"/>
          <w:rFonts w:ascii="Arial" w:eastAsia="Arial" w:hAnsi="Arial" w:cs="Arial"/>
          <w:color w:val="000000" w:themeColor="text1"/>
          <w:sz w:val="22"/>
          <w:szCs w:val="22"/>
          <w:shd w:val="clear" w:color="auto" w:fill="FFFFFF"/>
        </w:rPr>
        <w:t>focused multidisciplinary environment.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historical and contemporary product and furniture design practice and theory.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contemporary and historical art and design issues, appropriate theory and the development of skills in critical analysis for their own sake or for their application to art and design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critical understanding of current and future technologies and their impact on culture, society and the environment, including an appropriate knowledge of the application of materials and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relationship between theory and practice in art and design as it relates to the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 professional level of individual creativity, vision, personal expression and intellectual ability in product and furniture design which enables them to practise successfully in their chosen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level of practical understanding and technical competence -  whether in traditional or digital technology - in product and furniture design, which enables them to practise successfully in their chosen professions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an understanding of the national and international contexts of art and design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cultural, conceptual and professional contexts relevant to the evaluation and understanding of their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understanding of new and future methods, materials, processes and technologies appropriate to three-dimensional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development of problem-solving skills through research, critical analysis and the subsequent development of creative solutions within a professional, contextual and ethical framework.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individual creativity, personal expression and technical competence, using the practical skills necessary to critically evaluate, realise and coherently communicate three dimensional ideas in appropriate media.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as a full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field in full-time learning mode, and leads to the award of BA (Hons) Product &amp; Furniture Design.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w:t>
      </w:r>
      <w:r w:rsidRPr="2030048C">
        <w:rPr>
          <w:rFonts w:ascii="Arial" w:eastAsia="Arial" w:hAnsi="Arial" w:cs="Arial"/>
          <w:color w:val="000000" w:themeColor="text1" w:themeShade="FF" w:themeTint="FF"/>
          <w:sz w:val="24"/>
          <w:szCs w:val="24"/>
        </w:rPr>
        <w:t>evel 4 with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Transfer from a si</w:t>
      </w:r>
      <w:r w:rsidRPr="2030048C">
        <w:rPr>
          <w:rFonts w:ascii="Arial" w:eastAsia="Arial" w:hAnsi="Arial" w:cs="Arial"/>
          <w:color w:val="000000" w:themeColor="text1" w:themeShade="FF" w:themeTint="FF"/>
          <w:sz w:val="24"/>
          <w:szCs w:val="24"/>
        </w:rPr>
        <w:t>milar programme is possible at L</w:t>
      </w:r>
      <w:r w:rsidRPr="2030048C">
        <w:rPr>
          <w:rFonts w:ascii="Arial" w:eastAsia="Arial" w:hAnsi="Arial" w:cs="Arial"/>
          <w:color w:val="000000" w:themeColor="text1" w:themeShade="FF" w:themeTint="FF"/>
          <w:sz w:val="24"/>
          <w:szCs w:val="24"/>
        </w:rPr>
        <w:t>evel 5 with passes in comparable level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Not applicable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actively encouraged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although it is the responsibility of individual students to source and secure such placements.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Outline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Typically a student must complete 120 credits at each level. The programme is part of the University’s Undergraduate </w:t>
      </w:r>
      <w:r w:rsidRPr="2030048C">
        <w:rPr>
          <w:rFonts w:ascii="Arial" w:eastAsia="Arial" w:hAnsi="Arial" w:cs="Arial"/>
          <w:color w:val="000000" w:themeColor="text1" w:themeShade="FF" w:themeTint="FF"/>
          <w:sz w:val="24"/>
          <w:szCs w:val="24"/>
        </w:rPr>
        <w:t>Regulations (UR)</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All students will be provided with the University regulations and the </w:t>
      </w:r>
      <w:r w:rsidRPr="2030048C">
        <w:rPr>
          <w:rFonts w:ascii="Arial" w:eastAsia="Arial" w:hAnsi="Arial" w:cs="Arial"/>
          <w:color w:val="000000" w:themeColor="text1" w:themeShade="FF" w:themeTint="FF"/>
          <w:sz w:val="24"/>
          <w:szCs w:val="24"/>
        </w:rPr>
        <w:t>Course Handbook</w:t>
      </w:r>
      <w:r w:rsidRPr="2030048C">
        <w:rPr>
          <w:rFonts w:ascii="Arial" w:eastAsia="Arial" w:hAnsi="Arial" w:cs="Arial"/>
          <w:color w:val="000000" w:themeColor="text1" w:themeShade="FF" w:themeTint="FF"/>
          <w:sz w:val="24"/>
          <w:szCs w:val="24"/>
        </w:rPr>
        <w:t>. 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u w:val="single"/>
        </w:rPr>
        <w:t>Level 4</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first level of the course deals with the principles of design and the underpinning skills and theory. Curriculum areas include: design methods, design in context, human factors, key material and manufacturing technologies, semantics and semiotics, 2D and 3D communication and representation, studio and workshop practice, CAD/software skills. Particular importance is placed on the development of a contextual framework to underpin the design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u w:val="single"/>
        </w:rPr>
        <w:t>Level 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 This enables students to </w:t>
      </w:r>
      <w:r w:rsidRPr="2030048C">
        <w:rPr>
          <w:rFonts w:ascii="Arial" w:eastAsia="Arial" w:hAnsi="Arial" w:cs="Arial"/>
          <w:color w:val="000000"/>
          <w:sz w:val="22"/>
          <w:szCs w:val="22"/>
        </w:rPr>
        <w:t>expand their knowledge of the professional contexts for their practice, including interdisciplinary collaboration, and to further develop their employability skills.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u w:val="single"/>
        </w:rPr>
        <w:t>Level 6</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In the final year students will explore the practice of design and expand the envelope of their knowledge through a capstone project and a self-initiated project that, through the creative process, may be of an experimental research-based nature or production-orientated industry. The focus is on the student’s own aims and ambitions, which reflect their area of study and understanding of potential careers. This final year leads to the strategic construction of a professional portfolio in a relevant and appropriate form.</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Product &amp; Furniture Design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Product &amp; Furniture Design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PD4002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Design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PD4001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Materials and Making: Themes in Design History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Workshop and Studio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PD4003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Product &amp; Furniture Design.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Product &amp; Furniture Design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Context &amp; Communication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PD5001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Product &amp; Furniture Design: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Future Lab</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PD5003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Intelligent Making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PD5002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Product &amp; Furniture Design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Product &amp; Furniture Design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Design for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PD6001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Final Major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PD6002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PD6003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Body"/>
        <w:spacing w:before="0" w:after="0"/>
        <w:ind w:left="0" w:right="0"/>
        <w:jc w:val="both"/>
        <w:rPr>
          <w:rFonts w:ascii="Arial" w:eastAsia="Arial" w:hAnsi="Arial" w:cs="Arial"/>
          <w:sz w:val="22"/>
          <w:szCs w:val="22"/>
        </w:rPr>
      </w:pPr>
    </w:p>
    <w:p w:rsidRPr="2030048C" w:rsidP="2030048C">
      <w:pPr>
        <w:pStyle w:val="Body"/>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Design School promotes and sustains a distinctive pattern of teaching and learning practices. Teaching and learning strategies have developed in close relation to the design subjects, disciplines and the creative industries.</w:t>
      </w:r>
      <w:r w:rsidRPr="2030048C">
        <w:rPr>
          <w:rFonts w:ascii="Arial" w:eastAsia="Arial" w:hAnsi="Arial" w:cs="Arial"/>
          <w:sz w:val="22"/>
          <w:szCs w:val="22"/>
        </w:rPr>
        <w:t xml:space="preserve">  </w:t>
      </w:r>
      <w:r w:rsidRPr="2030048C">
        <w:rPr>
          <w:rFonts w:ascii="Arial" w:eastAsia="Arial" w:hAnsi="Arial" w:cs="Arial"/>
          <w:sz w:val="22"/>
          <w:szCs w:val="22"/>
        </w:rPr>
        <w:t>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w:t>
      </w:r>
      <w:r w:rsidRPr="2030048C">
        <w:rPr>
          <w:rFonts w:ascii="Arial" w:eastAsia="Arial" w:hAnsi="Arial" w:cs="Arial"/>
          <w:sz w:val="22"/>
          <w:szCs w:val="22"/>
        </w:rPr>
        <w:t>,</w:t>
      </w:r>
      <w:r w:rsidRPr="2030048C">
        <w:rPr>
          <w:rFonts w:ascii="Arial" w:eastAsia="Arial" w:hAnsi="Arial" w:cs="Arial"/>
          <w:sz w:val="22"/>
          <w:szCs w:val="22"/>
        </w:rPr>
        <w:t xml:space="preserve"> the aims of the modules are distinct in the practical projects undertaken by the student and as such are assessed individually and collectively in relation to the modules’ aims.</w:t>
      </w:r>
    </w:p>
    <w:p w:rsidRPr="2030048C" w:rsidP="2030048C">
      <w:pPr>
        <w:pStyle w:val="Body"/>
        <w:spacing w:before="0" w:after="0"/>
        <w:ind w:left="0" w:right="0"/>
        <w:jc w:val="both"/>
        <w:rPr>
          <w:rFonts w:ascii="Arial" w:eastAsia="Arial" w:hAnsi="Arial" w:cs="Arial"/>
          <w:b/>
          <w:bCs/>
          <w:i/>
          <w:iCs/>
          <w:sz w:val="22"/>
          <w:szCs w:val="22"/>
        </w:rPr>
      </w:pPr>
    </w:p>
    <w:p w:rsidRPr="2030048C" w:rsidP="2030048C">
      <w:pPr>
        <w:pStyle w:val="Body"/>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Pr="2030048C" w:rsidP="2030048C">
      <w:pPr>
        <w:pStyle w:val="Body"/>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Strategically, the course is structured to allow students to explore and develop an understanding of Product &amp; Furniture Design </w:t>
      </w:r>
      <w:r w:rsidRPr="2030048C">
        <w:rPr>
          <w:rFonts w:ascii="Arial" w:eastAsia="Arial" w:hAnsi="Arial" w:cs="Arial"/>
          <w:b/>
          <w:bCs/>
          <w:sz w:val="22"/>
          <w:szCs w:val="22"/>
        </w:rPr>
        <w:t>principles</w:t>
      </w:r>
      <w:r w:rsidRPr="2030048C">
        <w:rPr>
          <w:rFonts w:ascii="Arial" w:eastAsia="Arial" w:hAnsi="Arial" w:cs="Arial"/>
          <w:sz w:val="22"/>
          <w:szCs w:val="22"/>
        </w:rPr>
        <w:t xml:space="preserve"> through the level 4 modules. The nature of the modules provides for the increasing complexity of projects as the student develops as they navigate through the level and the ‘theme’. This concept is reflected in level 5 in which the Product &amp; Furniture Design </w:t>
      </w:r>
      <w:r w:rsidRPr="2030048C">
        <w:rPr>
          <w:rFonts w:ascii="Arial" w:eastAsia="Arial" w:hAnsi="Arial" w:cs="Arial"/>
          <w:b/>
          <w:bCs/>
          <w:sz w:val="22"/>
          <w:szCs w:val="22"/>
        </w:rPr>
        <w:t>processes</w:t>
      </w:r>
      <w:r w:rsidRPr="2030048C">
        <w:rPr>
          <w:rFonts w:ascii="Arial" w:eastAsia="Arial" w:hAnsi="Arial" w:cs="Arial"/>
          <w:sz w:val="22"/>
          <w:szCs w:val="22"/>
        </w:rPr>
        <w:t xml:space="preserve"> are characterised and level 6 in which the students’ Product &amp; Furniture Design </w:t>
      </w:r>
      <w:r w:rsidRPr="2030048C">
        <w:rPr>
          <w:rFonts w:ascii="Arial" w:eastAsia="Arial" w:hAnsi="Arial" w:cs="Arial"/>
          <w:b/>
          <w:bCs/>
          <w:sz w:val="22"/>
          <w:szCs w:val="22"/>
        </w:rPr>
        <w:t>practice</w:t>
      </w:r>
      <w:r w:rsidRPr="2030048C">
        <w:rPr>
          <w:rFonts w:ascii="Arial" w:eastAsia="Arial" w:hAnsi="Arial" w:cs="Arial"/>
          <w:sz w:val="22"/>
          <w:szCs w:val="22"/>
        </w:rPr>
        <w:t xml:space="preserve"> is personalised and contextualised.</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teaching and learning of practical design projects incorporates:</w:t>
      </w:r>
    </w:p>
    <w:p w:rsidRPr="2030048C" w:rsidP="2030048C">
      <w:pPr>
        <w:pStyle w:val="p"/>
        <w:spacing w:before="0" w:after="0"/>
        <w:ind w:left="0" w:right="0"/>
        <w:jc w:val="both"/>
        <w:rPr>
          <w:rFonts w:ascii="Arial" w:eastAsia="Arial" w:hAnsi="Arial" w:cs="Arial"/>
          <w:sz w:val="22"/>
          <w:szCs w:val="22"/>
        </w:rPr>
      </w:pPr>
    </w:p>
    <w:p w:rsidRPr="2030048C" w:rsidP="2030048C">
      <w:pPr>
        <w:pStyle w:val="li"/>
        <w:numPr>
          <w:ilvl w:val="0"/>
          <w:numId w:val="13"/>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Analysis of the project brief, research and insight gathering into the ‘theme’ or objective and subsequent problem finding for problem solving.</w:t>
      </w:r>
    </w:p>
    <w:p w:rsidRPr="2030048C" w:rsidP="2030048C">
      <w:pPr>
        <w:pStyle w:val="li"/>
        <w:numPr>
          <w:ilvl w:val="0"/>
          <w:numId w:val="13"/>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Analysis of context.</w:t>
      </w:r>
    </w:p>
    <w:p w:rsidRPr="2030048C" w:rsidP="2030048C">
      <w:pPr>
        <w:pStyle w:val="li"/>
        <w:numPr>
          <w:ilvl w:val="0"/>
          <w:numId w:val="13"/>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Tools and strategies for design thinking and the design process.</w:t>
      </w:r>
    </w:p>
    <w:p w:rsidRPr="2030048C" w:rsidP="2030048C">
      <w:pPr>
        <w:pStyle w:val="li"/>
        <w:numPr>
          <w:ilvl w:val="0"/>
          <w:numId w:val="13"/>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promotion of workshop practices and creative material usage and manipulation. </w:t>
      </w:r>
    </w:p>
    <w:p w:rsidRPr="2030048C" w:rsidP="2030048C">
      <w:pPr>
        <w:pStyle w:val="li"/>
        <w:numPr>
          <w:ilvl w:val="0"/>
          <w:numId w:val="13"/>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The teaching of communication and presentation tools and techniques.</w:t>
      </w:r>
    </w:p>
    <w:p w:rsidRPr="2030048C" w:rsidP="2030048C">
      <w:pPr>
        <w:pStyle w:val="li"/>
        <w:numPr>
          <w:ilvl w:val="0"/>
          <w:numId w:val="13"/>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The teaching of digital tools for design and realisation</w:t>
      </w:r>
    </w:p>
    <w:p w:rsidRPr="2030048C" w:rsidP="2030048C">
      <w:pPr>
        <w:pStyle w:val="li"/>
        <w:numPr>
          <w:ilvl w:val="0"/>
          <w:numId w:val="13"/>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Tutorials, lectures, seminars and workshops</w:t>
      </w:r>
    </w:p>
    <w:p w:rsidRPr="2030048C" w:rsidP="2030048C">
      <w:pPr>
        <w:pStyle w:val="li"/>
        <w:numPr>
          <w:ilvl w:val="0"/>
          <w:numId w:val="13"/>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development of students’ ability to confidently communicate orally </w:t>
      </w:r>
    </w:p>
    <w:p w:rsidRPr="2030048C" w:rsidP="2030048C">
      <w:pPr>
        <w:pStyle w:val="li"/>
        <w:numPr>
          <w:ilvl w:val="0"/>
          <w:numId w:val="13"/>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Project reviews and crits to promote peer project discussion and debate.</w:t>
      </w:r>
    </w:p>
    <w:p w:rsidRPr="2030048C" w:rsidP="2030048C">
      <w:pPr>
        <w:pStyle w:val="li"/>
        <w:numPr>
          <w:ilvl w:val="0"/>
          <w:numId w:val="13"/>
        </w:numPr>
        <w:pBdr>
          <w:left w:val="none" w:sz="0" w:space="7" w:color="auto"/>
        </w:pBdr>
        <w:spacing w:before="0" w:after="0"/>
        <w:ind w:left="720" w:right="0" w:hanging="519"/>
        <w:jc w:val="both"/>
        <w:rPr>
          <w:rFonts w:ascii="Times New Roman" w:eastAsia="Times New Roman" w:hAnsi="Times New Roman" w:cs="Times New Roman"/>
          <w:sz w:val="22"/>
          <w:szCs w:val="22"/>
        </w:rPr>
      </w:pPr>
      <w:r w:rsidRPr="2030048C">
        <w:rPr>
          <w:rFonts w:ascii="Arial" w:eastAsia="Arial" w:hAnsi="Arial" w:cs="Arial"/>
          <w:sz w:val="22"/>
          <w:szCs w:val="22"/>
        </w:rPr>
        <w:t>The encouragement of self-reflection and self-criticism within students in relation to a sustainable design practice.</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 xml:space="preserve">The continual and iterative nature of the design process requires a </w:t>
      </w:r>
      <w:r w:rsidRPr="2030048C">
        <w:rPr>
          <w:rFonts w:ascii="Arial" w:eastAsia="Arial" w:hAnsi="Arial" w:cs="Arial"/>
          <w:sz w:val="22"/>
          <w:szCs w:val="22"/>
        </w:rPr>
        <w:t>structured</w:t>
      </w:r>
      <w:r w:rsidRPr="2030048C">
        <w:rPr>
          <w:rFonts w:ascii="Arial" w:eastAsia="Arial" w:hAnsi="Arial" w:cs="Arial"/>
          <w:sz w:val="22"/>
          <w:szCs w:val="22"/>
        </w:rPr>
        <w:t xml:space="preserve">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appropriate project work; typically a portfolio, a major practical</w:t>
      </w:r>
      <w:r w:rsidRPr="2030048C">
        <w:rPr>
          <w:rFonts w:ascii="Arial" w:eastAsia="Arial" w:hAnsi="Arial" w:cs="Arial"/>
          <w:sz w:val="22"/>
          <w:szCs w:val="22"/>
        </w:rPr>
        <w:t xml:space="preserve"> production </w:t>
      </w:r>
      <w:r w:rsidRPr="2030048C">
        <w:rPr>
          <w:rFonts w:ascii="Arial" w:eastAsia="Arial" w:hAnsi="Arial" w:cs="Arial"/>
          <w:sz w:val="22"/>
          <w:szCs w:val="22"/>
        </w:rPr>
        <w:t>design project</w:t>
      </w:r>
      <w:r w:rsidRPr="2030048C">
        <w:rPr>
          <w:rFonts w:ascii="Arial" w:eastAsia="Arial" w:hAnsi="Arial" w:cs="Arial"/>
          <w:sz w:val="22"/>
          <w:szCs w:val="22"/>
        </w:rPr>
        <w:t xml:space="preserve">, </w:t>
      </w:r>
      <w:r w:rsidRPr="2030048C">
        <w:rPr>
          <w:rFonts w:ascii="Arial" w:eastAsia="Arial" w:hAnsi="Arial" w:cs="Arial"/>
          <w:sz w:val="22"/>
          <w:szCs w:val="22"/>
        </w:rPr>
        <w:t xml:space="preserve">the </w:t>
      </w:r>
      <w:r w:rsidRPr="2030048C">
        <w:rPr>
          <w:rFonts w:ascii="Arial" w:eastAsia="Arial" w:hAnsi="Arial" w:cs="Arial"/>
          <w:sz w:val="22"/>
          <w:szCs w:val="22"/>
        </w:rPr>
        <w:t xml:space="preserve">major </w:t>
      </w:r>
      <w:r w:rsidRPr="2030048C">
        <w:rPr>
          <w:rFonts w:ascii="Arial" w:eastAsia="Arial" w:hAnsi="Arial" w:cs="Arial"/>
          <w:sz w:val="22"/>
          <w:szCs w:val="22"/>
        </w:rPr>
        <w:t>capstone project, a dissertation and a statement.</w:t>
      </w:r>
    </w:p>
    <w:p w:rsidRPr="2030048C" w:rsidP="2030048C">
      <w:pPr>
        <w:pStyle w:val="p"/>
        <w:spacing w:before="0" w:after="0"/>
        <w:ind w:left="0" w:right="0"/>
        <w:rPr>
          <w:rFonts w:ascii="Arial" w:eastAsia="Arial" w:hAnsi="Arial" w:cs="Arial"/>
          <w:sz w:val="22"/>
          <w:szCs w:val="22"/>
        </w:rPr>
      </w:pPr>
    </w:p>
    <w:p w:rsidRPr="2030048C" w:rsidP="2030048C">
      <w:pPr>
        <w:pStyle w:val="Body"/>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The delivery of modules will be by means of lectures, seminars, workshops, group critique, individual tutorials, demonstration, projects, briefings, study visits, peer learning, independent learning and study skills.</w:t>
      </w:r>
    </w:p>
    <w:p w:rsidRPr="2030048C" w:rsidP="2030048C">
      <w:pPr>
        <w:pStyle w:val="Body"/>
        <w:spacing w:before="0" w:after="0"/>
        <w:ind w:left="0" w:right="0"/>
        <w:jc w:val="both"/>
        <w:rPr>
          <w:rFonts w:ascii="Arial" w:eastAsia="Arial" w:hAnsi="Arial" w:cs="Arial"/>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b w:val="0"/>
          <w:bCs w:val="0"/>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Lectures</w:t>
      </w:r>
      <w:r w:rsidRPr="2030048C">
        <w:rPr>
          <w:rFonts w:ascii="Arial" w:eastAsia="Arial" w:hAnsi="Arial" w:cs="Arial"/>
          <w:i/>
          <w:iCs/>
          <w:sz w:val="22"/>
          <w:szCs w:val="22"/>
        </w:rPr>
        <w:t xml:space="preserve"> </w:t>
      </w:r>
      <w:r w:rsidRPr="2030048C">
        <w:rPr>
          <w:rFonts w:ascii="Arial" w:eastAsia="Arial" w:hAnsi="Arial" w:cs="Arial"/>
          <w:sz w:val="22"/>
          <w:szCs w:val="22"/>
        </w:rPr>
        <w:t xml:space="preserve">- A member of staff or invited guest will provide taught input, often followed up by group discussion to ensure a full understanding and to encourage critical analysis of the material. </w:t>
      </w:r>
    </w:p>
    <w:p w:rsidRPr="2030048C" w:rsidP="2030048C">
      <w:pPr>
        <w:pStyle w:val="Bullet"/>
        <w:spacing w:before="0" w:after="0"/>
        <w:ind w:left="720" w:right="0"/>
        <w:jc w:val="both"/>
        <w:rPr>
          <w:rFonts w:ascii="Arial" w:eastAsia="Arial" w:hAnsi="Arial" w:cs="Arial"/>
          <w:b/>
          <w:bCs/>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Seminars</w:t>
      </w:r>
      <w:r w:rsidRPr="2030048C">
        <w:rPr>
          <w:rFonts w:ascii="Arial" w:eastAsia="Arial" w:hAnsi="Arial" w:cs="Arial"/>
          <w:sz w:val="22"/>
          <w:szCs w:val="22"/>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Pr="2030048C" w:rsidP="2030048C">
      <w:pPr>
        <w:pStyle w:val="Bullet"/>
        <w:spacing w:before="0" w:after="0"/>
        <w:ind w:left="425" w:right="0" w:hanging="425"/>
        <w:jc w:val="both"/>
        <w:rPr>
          <w:rFonts w:ascii="Arial" w:eastAsia="Arial" w:hAnsi="Arial" w:cs="Arial"/>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b w:val="0"/>
          <w:bCs w:val="0"/>
          <w:i w:val="0"/>
          <w:iCs w:val="0"/>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Group Critique</w:t>
      </w:r>
      <w:r w:rsidRPr="2030048C">
        <w:rPr>
          <w:rFonts w:ascii="Arial" w:eastAsia="Arial" w:hAnsi="Arial" w:cs="Arial"/>
          <w:sz w:val="22"/>
          <w:szCs w:val="22"/>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w:t>
      </w:r>
      <w:r w:rsidRPr="2030048C">
        <w:rPr>
          <w:rFonts w:ascii="Arial" w:eastAsia="Arial" w:hAnsi="Arial" w:cs="Arial"/>
          <w:sz w:val="22"/>
          <w:szCs w:val="22"/>
        </w:rPr>
        <w:t>realisation</w:t>
      </w:r>
      <w:r w:rsidRPr="2030048C">
        <w:rPr>
          <w:rFonts w:ascii="Arial" w:eastAsia="Arial" w:hAnsi="Arial" w:cs="Arial"/>
          <w:sz w:val="22"/>
          <w:szCs w:val="22"/>
        </w:rPr>
        <w:t xml:space="preserve"> of common issues and for the dissemination of ideas. Crits also provide an invaluable form of self-appraisal, since the student will not only receive individual oral feedback, but will indirectly learn by means of the discussion centered upon the work of other members of the group.</w:t>
      </w:r>
      <w:r w:rsidRPr="2030048C">
        <w:rPr>
          <w:rFonts w:ascii="Arial" w:eastAsia="Arial" w:hAnsi="Arial" w:cs="Arial"/>
          <w:sz w:val="22"/>
          <w:szCs w:val="22"/>
        </w:rPr>
        <w:t xml:space="preserve">  </w:t>
      </w:r>
      <w:r w:rsidRPr="2030048C">
        <w:rPr>
          <w:rFonts w:ascii="Arial" w:eastAsia="Arial" w:hAnsi="Arial" w:cs="Arial"/>
          <w:sz w:val="22"/>
          <w:szCs w:val="22"/>
        </w:rPr>
        <w:t>Additionally group crits provide opportunities for ‘feed-forward’ in relation to project aims, programme aims and student outcomes.</w:t>
      </w:r>
    </w:p>
    <w:p w:rsidRPr="2030048C" w:rsidP="2030048C">
      <w:pPr>
        <w:pStyle w:val="Bullet"/>
        <w:spacing w:before="0" w:after="0"/>
        <w:ind w:left="720" w:right="0"/>
        <w:jc w:val="both"/>
        <w:rPr>
          <w:rFonts w:ascii="Arial" w:eastAsia="Arial" w:hAnsi="Arial" w:cs="Arial"/>
          <w:b/>
          <w:bCs/>
          <w:i/>
          <w:iCs/>
          <w:sz w:val="22"/>
          <w:szCs w:val="22"/>
        </w:rPr>
      </w:pPr>
    </w:p>
    <w:p w:rsidRPr="2030048C" w:rsidP="2030048C">
      <w:pPr>
        <w:pStyle w:val="Bullet"/>
        <w:spacing w:before="0" w:after="0"/>
        <w:ind w:left="360" w:right="0" w:hanging="360"/>
        <w:jc w:val="both"/>
        <w:rPr>
          <w:rFonts w:ascii="Times New Roman" w:eastAsia="Times New Roman" w:hAnsi="Times New Roman" w:cs="Times New Roman"/>
          <w:sz w:val="22"/>
          <w:szCs w:val="22"/>
        </w:rPr>
      </w:pPr>
      <w:r w:rsidRPr="2030048C">
        <w:rPr>
          <w:rFonts w:ascii="Symbol" w:eastAsia="Symbol" w:hAnsi="Symbol" w:cs="Symbol"/>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Tutorial</w:t>
      </w:r>
      <w:r w:rsidRPr="2030048C">
        <w:rPr>
          <w:rFonts w:ascii="Arial" w:eastAsia="Arial" w:hAnsi="Arial" w:cs="Arial"/>
          <w:b/>
          <w:bCs/>
          <w:i/>
          <w:iCs/>
          <w:sz w:val="22"/>
          <w:szCs w:val="22"/>
        </w:rPr>
        <w:t>s</w:t>
      </w:r>
      <w:r w:rsidRPr="2030048C">
        <w:rPr>
          <w:rFonts w:ascii="Arial" w:eastAsia="Arial" w:hAnsi="Arial" w:cs="Arial"/>
          <w:sz w:val="22"/>
          <w:szCs w:val="22"/>
        </w:rPr>
        <w:t xml:space="preserve"> - Opportunities to strategically discuss a range of issues relating to individual development and to clarify existing knowledge, to support project initiatives, and to guide and facilitate further independent creative learning and thought.</w:t>
      </w:r>
      <w:r w:rsidRPr="2030048C">
        <w:rPr>
          <w:rFonts w:ascii="Arial" w:eastAsia="Arial" w:hAnsi="Arial" w:cs="Arial"/>
          <w:sz w:val="22"/>
          <w:szCs w:val="22"/>
        </w:rPr>
        <w:t xml:space="preserve">  </w:t>
      </w:r>
      <w:r w:rsidRPr="2030048C">
        <w:rPr>
          <w:rFonts w:ascii="Arial" w:eastAsia="Arial" w:hAnsi="Arial" w:cs="Arial"/>
          <w:sz w:val="22"/>
          <w:szCs w:val="22"/>
        </w:rPr>
        <w:t>They also provide opportunities for formative assessment where students receive feedback on completed work and feed</w:t>
      </w:r>
      <w:r w:rsidRPr="2030048C">
        <w:rPr>
          <w:rFonts w:ascii="Arial" w:eastAsia="Arial" w:hAnsi="Arial" w:cs="Arial"/>
          <w:sz w:val="22"/>
          <w:szCs w:val="22"/>
        </w:rPr>
        <w:t xml:space="preserve"> </w:t>
      </w:r>
      <w:r w:rsidRPr="2030048C">
        <w:rPr>
          <w:rFonts w:ascii="Arial" w:eastAsia="Arial" w:hAnsi="Arial" w:cs="Arial"/>
          <w:sz w:val="22"/>
          <w:szCs w:val="22"/>
        </w:rPr>
        <w:t>forward on work in progress.</w:t>
      </w:r>
    </w:p>
    <w:p w:rsidRPr="2030048C" w:rsidP="2030048C">
      <w:pPr>
        <w:pStyle w:val="Bullet"/>
        <w:spacing w:before="0" w:after="0"/>
        <w:ind w:left="425" w:right="0" w:hanging="425"/>
        <w:jc w:val="both"/>
        <w:rPr>
          <w:rFonts w:ascii="Arial" w:eastAsia="Arial" w:hAnsi="Arial" w:cs="Arial"/>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Demonstration</w:t>
      </w:r>
      <w:r w:rsidRPr="2030048C">
        <w:rPr>
          <w:rFonts w:ascii="Arial" w:eastAsia="Arial" w:hAnsi="Arial" w:cs="Arial"/>
          <w:i/>
          <w:iCs/>
          <w:sz w:val="22"/>
          <w:szCs w:val="22"/>
        </w:rPr>
        <w:t xml:space="preserve"> </w:t>
      </w:r>
      <w:r w:rsidRPr="2030048C">
        <w:rPr>
          <w:rFonts w:ascii="Arial" w:eastAsia="Arial" w:hAnsi="Arial" w:cs="Arial"/>
          <w:sz w:val="22"/>
          <w:szCs w:val="22"/>
        </w:rPr>
        <w:t>- This often involves the first introduction to a material, technology, process, technique or equipment not previously experienced by a group of students.</w:t>
      </w:r>
      <w:r w:rsidRPr="2030048C">
        <w:rPr>
          <w:rFonts w:ascii="Arial" w:eastAsia="Arial" w:hAnsi="Arial" w:cs="Arial"/>
          <w:sz w:val="22"/>
          <w:szCs w:val="22"/>
        </w:rPr>
        <w:t xml:space="preserve">  </w:t>
      </w:r>
      <w:r w:rsidRPr="2030048C">
        <w:rPr>
          <w:rFonts w:ascii="Arial" w:eastAsia="Arial" w:hAnsi="Arial" w:cs="Arial"/>
          <w:sz w:val="22"/>
          <w:szCs w:val="22"/>
        </w:rPr>
        <w:t>It is intended to make students aware of the potential and characteristics of the ‘subject’ and it is not intended that every student will necessarily go on to learn and apply the skills or knowledge.</w:t>
      </w:r>
    </w:p>
    <w:p w:rsidRPr="2030048C" w:rsidP="2030048C">
      <w:pPr>
        <w:pStyle w:val="Bullet"/>
        <w:spacing w:before="0" w:after="0"/>
        <w:ind w:left="425" w:right="0" w:hanging="425"/>
        <w:jc w:val="both"/>
        <w:rPr>
          <w:rFonts w:ascii="Arial" w:eastAsia="Arial" w:hAnsi="Arial" w:cs="Arial"/>
          <w:i/>
          <w:iCs/>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Study Visits</w:t>
      </w:r>
      <w:r w:rsidRPr="2030048C">
        <w:rPr>
          <w:rFonts w:ascii="Arial" w:eastAsia="Arial" w:hAnsi="Arial" w:cs="Arial"/>
          <w:sz w:val="22"/>
          <w:szCs w:val="22"/>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2030048C" w:rsidP="2030048C">
      <w:pPr>
        <w:pStyle w:val="Bullet"/>
        <w:spacing w:before="0" w:after="0"/>
        <w:ind w:left="425" w:right="0" w:hanging="425"/>
        <w:jc w:val="both"/>
        <w:rPr>
          <w:rFonts w:ascii="Arial" w:eastAsia="Arial" w:hAnsi="Arial" w:cs="Arial"/>
          <w:i/>
          <w:iCs/>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Projects</w:t>
      </w:r>
      <w:r w:rsidRPr="2030048C">
        <w:rPr>
          <w:rFonts w:ascii="Arial" w:eastAsia="Arial" w:hAnsi="Arial" w:cs="Arial"/>
          <w:sz w:val="22"/>
          <w:szCs w:val="22"/>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w:t>
      </w:r>
      <w:r w:rsidRPr="2030048C">
        <w:rPr>
          <w:rFonts w:ascii="Arial" w:eastAsia="Arial" w:hAnsi="Arial" w:cs="Arial"/>
          <w:sz w:val="22"/>
          <w:szCs w:val="22"/>
        </w:rPr>
        <w:t>may be developed over a period of time, which is</w:t>
      </w:r>
      <w:r w:rsidRPr="2030048C">
        <w:rPr>
          <w:rFonts w:ascii="Arial" w:eastAsia="Arial" w:hAnsi="Arial" w:cs="Arial"/>
          <w:b/>
          <w:bCs/>
          <w:sz w:val="22"/>
          <w:szCs w:val="22"/>
        </w:rPr>
        <w:t xml:space="preserve"> </w:t>
      </w:r>
      <w:r w:rsidRPr="2030048C">
        <w:rPr>
          <w:rFonts w:ascii="Arial" w:eastAsia="Arial" w:hAnsi="Arial" w:cs="Arial"/>
          <w:sz w:val="22"/>
          <w:szCs w:val="22"/>
        </w:rPr>
        <w:t>agreed between the</w:t>
      </w:r>
      <w:r w:rsidRPr="2030048C">
        <w:rPr>
          <w:rFonts w:ascii="Arial" w:eastAsia="Arial" w:hAnsi="Arial" w:cs="Arial"/>
          <w:b/>
          <w:bCs/>
          <w:sz w:val="22"/>
          <w:szCs w:val="22"/>
        </w:rPr>
        <w:t xml:space="preserve"> </w:t>
      </w:r>
      <w:r w:rsidRPr="2030048C">
        <w:rPr>
          <w:rFonts w:ascii="Arial" w:eastAsia="Arial" w:hAnsi="Arial" w:cs="Arial"/>
          <w:sz w:val="22"/>
          <w:szCs w:val="22"/>
        </w:rPr>
        <w:t>individual student and a member of the academic staff.</w:t>
      </w:r>
    </w:p>
    <w:p w:rsidRPr="2030048C" w:rsidP="2030048C">
      <w:pPr>
        <w:pStyle w:val="Bullet"/>
        <w:spacing w:before="0" w:after="0"/>
        <w:ind w:left="425" w:right="0" w:hanging="425"/>
        <w:jc w:val="both"/>
        <w:rPr>
          <w:rFonts w:ascii="Arial" w:eastAsia="Arial" w:hAnsi="Arial" w:cs="Arial"/>
          <w:b/>
          <w:bCs/>
          <w:i/>
          <w:iCs/>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b w:val="0"/>
          <w:bCs w:val="0"/>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Capstone Project</w:t>
      </w:r>
      <w:r w:rsidRPr="2030048C">
        <w:rPr>
          <w:rFonts w:ascii="Arial" w:eastAsia="Arial" w:hAnsi="Arial" w:cs="Arial"/>
          <w:sz w:val="22"/>
          <w:szCs w:val="22"/>
        </w:rPr>
        <w:t xml:space="preserve"> -</w:t>
      </w:r>
      <w:r w:rsidRPr="2030048C">
        <w:rPr>
          <w:rFonts w:ascii="Arial" w:eastAsia="Arial" w:hAnsi="Arial" w:cs="Arial"/>
          <w:b/>
          <w:bCs/>
          <w:sz w:val="22"/>
          <w:szCs w:val="22"/>
        </w:rPr>
        <w:t xml:space="preserve"> </w:t>
      </w:r>
      <w:r w:rsidRPr="2030048C">
        <w:rPr>
          <w:rFonts w:ascii="Arial" w:eastAsia="Arial" w:hAnsi="Arial" w:cs="Arial"/>
          <w:sz w:val="22"/>
          <w:szCs w:val="22"/>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Pr="2030048C" w:rsidP="2030048C">
      <w:pPr>
        <w:pStyle w:val="Bullet"/>
        <w:spacing w:before="0" w:after="0"/>
        <w:ind w:left="425" w:right="0" w:hanging="425"/>
        <w:jc w:val="both"/>
        <w:rPr>
          <w:rFonts w:ascii="Arial" w:eastAsia="Arial" w:hAnsi="Arial" w:cs="Arial"/>
          <w:b/>
          <w:bCs/>
          <w:i/>
          <w:iCs/>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Briefing</w:t>
      </w:r>
      <w:r w:rsidRPr="2030048C">
        <w:rPr>
          <w:rFonts w:ascii="Arial" w:eastAsia="Arial" w:hAnsi="Arial" w:cs="Arial"/>
          <w:i/>
          <w:iCs/>
          <w:sz w:val="22"/>
          <w:szCs w:val="22"/>
        </w:rPr>
        <w:t xml:space="preserve"> </w:t>
      </w:r>
      <w:r w:rsidRPr="2030048C">
        <w:rPr>
          <w:rFonts w:ascii="Arial" w:eastAsia="Arial" w:hAnsi="Arial" w:cs="Arial"/>
          <w:sz w:val="22"/>
          <w:szCs w:val="22"/>
        </w:rPr>
        <w:t>- A briefing takes place to make known and explain specifics of projects; theme, aims &amp; objectives, learning outcomes, timetable etc.</w:t>
      </w:r>
    </w:p>
    <w:p w:rsidRPr="2030048C" w:rsidP="2030048C">
      <w:pPr>
        <w:pStyle w:val="Bullet"/>
        <w:spacing w:before="0" w:after="0"/>
        <w:ind w:left="425" w:right="0"/>
        <w:jc w:val="both"/>
        <w:rPr>
          <w:rFonts w:ascii="Arial" w:eastAsia="Arial" w:hAnsi="Arial" w:cs="Arial"/>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Peer Learning</w:t>
      </w:r>
      <w:r w:rsidRPr="2030048C">
        <w:rPr>
          <w:rFonts w:ascii="Arial" w:eastAsia="Arial" w:hAnsi="Arial" w:cs="Arial"/>
          <w:sz w:val="22"/>
          <w:szCs w:val="22"/>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w:t>
      </w:r>
      <w:r w:rsidRPr="2030048C">
        <w:rPr>
          <w:rFonts w:ascii="Arial" w:eastAsia="Arial" w:hAnsi="Arial" w:cs="Arial"/>
          <w:sz w:val="22"/>
          <w:szCs w:val="22"/>
        </w:rPr>
        <w:t xml:space="preserve">  </w:t>
      </w:r>
    </w:p>
    <w:p w:rsidRPr="2030048C" w:rsidP="2030048C">
      <w:pPr>
        <w:pStyle w:val="Bullet"/>
        <w:spacing w:before="0" w:after="0"/>
        <w:ind w:left="11" w:right="0"/>
        <w:jc w:val="both"/>
        <w:rPr>
          <w:rFonts w:ascii="Arial" w:eastAsia="Arial" w:hAnsi="Arial" w:cs="Arial"/>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i w:val="0"/>
          <w:iCs w:val="0"/>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Independent Study</w:t>
      </w:r>
      <w:r w:rsidRPr="2030048C">
        <w:rPr>
          <w:rFonts w:ascii="Arial" w:eastAsia="Arial" w:hAnsi="Arial" w:cs="Arial"/>
          <w:sz w:val="22"/>
          <w:szCs w:val="22"/>
        </w:rPr>
        <w:t xml:space="preserve"> - It will be </w:t>
      </w:r>
      <w:r w:rsidRPr="2030048C">
        <w:rPr>
          <w:rFonts w:ascii="Arial" w:eastAsia="Arial" w:hAnsi="Arial" w:cs="Arial"/>
          <w:sz w:val="22"/>
          <w:szCs w:val="22"/>
        </w:rPr>
        <w:t>recognised</w:t>
      </w:r>
      <w:r w:rsidRPr="2030048C">
        <w:rPr>
          <w:rFonts w:ascii="Arial" w:eastAsia="Arial" w:hAnsi="Arial" w:cs="Arial"/>
          <w:sz w:val="22"/>
          <w:szCs w:val="22"/>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Pr="2030048C" w:rsidP="2030048C">
      <w:pPr>
        <w:pStyle w:val="Bullet"/>
        <w:spacing w:before="0" w:after="0"/>
        <w:ind w:left="720" w:right="0"/>
        <w:jc w:val="both"/>
        <w:rPr>
          <w:rFonts w:ascii="Arial" w:eastAsia="Arial" w:hAnsi="Arial" w:cs="Arial"/>
          <w:i/>
          <w:iCs/>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i w:val="0"/>
          <w:iCs w:val="0"/>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Research Informed Teaching</w:t>
      </w:r>
      <w:r w:rsidRPr="2030048C">
        <w:rPr>
          <w:rFonts w:ascii="Arial" w:eastAsia="Arial" w:hAnsi="Arial" w:cs="Arial"/>
          <w:i/>
          <w:iCs/>
          <w:sz w:val="22"/>
          <w:szCs w:val="22"/>
        </w:rPr>
        <w:t xml:space="preserve"> - </w:t>
      </w:r>
      <w:r w:rsidRPr="2030048C">
        <w:rPr>
          <w:rFonts w:ascii="Arial" w:eastAsia="Arial" w:hAnsi="Arial" w:cs="Arial"/>
          <w:sz w:val="22"/>
          <w:szCs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Pr="2030048C" w:rsidP="2030048C">
      <w:pPr>
        <w:pStyle w:val="Bullet"/>
        <w:spacing w:before="0" w:after="0"/>
        <w:ind w:left="425" w:right="0" w:hanging="425"/>
        <w:jc w:val="both"/>
        <w:rPr>
          <w:rFonts w:ascii="Arial" w:eastAsia="Arial" w:hAnsi="Arial" w:cs="Arial"/>
          <w:i/>
          <w:iCs/>
          <w:sz w:val="22"/>
          <w:szCs w:val="22"/>
        </w:rPr>
      </w:pPr>
    </w:p>
    <w:p w:rsidRPr="2030048C" w:rsidP="2030048C">
      <w:pPr>
        <w:pStyle w:val="p"/>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The VLE</w:t>
      </w:r>
      <w:r w:rsidRPr="2030048C">
        <w:rPr>
          <w:rFonts w:ascii="Arial" w:eastAsia="Arial" w:hAnsi="Arial" w:cs="Arial"/>
          <w:b/>
          <w:bCs/>
          <w:i/>
          <w:iCs/>
          <w:sz w:val="22"/>
          <w:szCs w:val="22"/>
        </w:rPr>
        <w:t>/Canvas</w:t>
      </w:r>
      <w:r w:rsidRPr="2030048C">
        <w:rPr>
          <w:rFonts w:ascii="Arial" w:eastAsia="Arial" w:hAnsi="Arial" w:cs="Arial"/>
          <w:sz w:val="22"/>
          <w:szCs w:val="22"/>
        </w:rPr>
        <w:t xml:space="preserve"> - is an online environment that aims to make the most effective use of a range of virtual teaching and learning tools. The School is involved in the development of online materials to support course, </w:t>
      </w:r>
      <w:r w:rsidRPr="2030048C">
        <w:rPr>
          <w:rFonts w:ascii="Arial" w:eastAsia="Arial" w:hAnsi="Arial" w:cs="Arial"/>
          <w:sz w:val="22"/>
          <w:szCs w:val="22"/>
        </w:rPr>
        <w:t>S</w:t>
      </w:r>
      <w:r w:rsidRPr="2030048C">
        <w:rPr>
          <w:rFonts w:ascii="Arial" w:eastAsia="Arial" w:hAnsi="Arial" w:cs="Arial"/>
          <w:sz w:val="22"/>
          <w:szCs w:val="22"/>
        </w:rPr>
        <w:t xml:space="preserve">chool and </w:t>
      </w:r>
      <w:r w:rsidRPr="2030048C">
        <w:rPr>
          <w:rFonts w:ascii="Arial" w:eastAsia="Arial" w:hAnsi="Arial" w:cs="Arial"/>
          <w:sz w:val="22"/>
          <w:szCs w:val="22"/>
        </w:rPr>
        <w:t>F</w:t>
      </w:r>
      <w:r w:rsidRPr="2030048C">
        <w:rPr>
          <w:rFonts w:ascii="Arial" w:eastAsia="Arial" w:hAnsi="Arial" w:cs="Arial"/>
          <w:sz w:val="22"/>
          <w:szCs w:val="22"/>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360" w:right="0" w:hanging="360"/>
        <w:rPr>
          <w:rFonts w:ascii="Times New Roman" w:eastAsia="Times New Roman" w:hAnsi="Times New Roman" w:cs="Times New Roman"/>
          <w:sz w:val="22"/>
          <w:szCs w:val="22"/>
        </w:rPr>
      </w:pPr>
      <w:r w:rsidRPr="2030048C">
        <w:rPr>
          <w:rFonts w:ascii="Symbol" w:eastAsia="Symbol" w:hAnsi="Symbol" w:cs="Symbol"/>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sz w:val="22"/>
          <w:szCs w:val="22"/>
        </w:rPr>
        <w:t>LinkedIn Learning</w:t>
      </w:r>
      <w:r w:rsidRPr="2030048C">
        <w:rPr>
          <w:rFonts w:ascii="Arial" w:eastAsia="Arial" w:hAnsi="Arial" w:cs="Arial"/>
          <w:sz w:val="22"/>
          <w:szCs w:val="22"/>
        </w:rPr>
        <w:t xml:space="preserve"> – </w:t>
      </w:r>
      <w:r w:rsidRPr="2030048C">
        <w:rPr>
          <w:rFonts w:ascii="Arial" w:eastAsia="Arial" w:hAnsi="Arial" w:cs="Arial"/>
          <w:sz w:val="22"/>
          <w:szCs w:val="22"/>
        </w:rPr>
        <w:t>a</w:t>
      </w:r>
      <w:r w:rsidRPr="2030048C">
        <w:rPr>
          <w:rFonts w:ascii="Arial" w:eastAsia="Arial" w:hAnsi="Arial" w:cs="Arial"/>
          <w:sz w:val="22"/>
          <w:szCs w:val="22"/>
        </w:rPr>
        <w:t>ll</w:t>
      </w:r>
      <w:r w:rsidRPr="2030048C">
        <w:rPr>
          <w:rFonts w:ascii="Arial" w:eastAsia="Arial" w:hAnsi="Arial" w:cs="Arial"/>
          <w:sz w:val="22"/>
          <w:szCs w:val="22"/>
        </w:rPr>
        <w:t xml:space="preserve"> </w:t>
      </w:r>
      <w:r w:rsidRPr="2030048C">
        <w:rPr>
          <w:rFonts w:ascii="Arial" w:eastAsia="Arial" w:hAnsi="Arial" w:cs="Arial"/>
          <w:sz w:val="22"/>
          <w:szCs w:val="22"/>
        </w:rPr>
        <w:t xml:space="preserve">courses based in the Kingston School of Art offer students free access to the online video tutorial platform </w:t>
      </w:r>
      <w:r w:rsidRPr="2030048C">
        <w:rPr>
          <w:rFonts w:ascii="Arial" w:eastAsia="Arial" w:hAnsi="Arial" w:cs="Arial"/>
          <w:sz w:val="22"/>
          <w:szCs w:val="22"/>
        </w:rPr>
        <w:t>LinkedIn Learning</w:t>
      </w:r>
      <w:r w:rsidRPr="2030048C">
        <w:rPr>
          <w:rFonts w:ascii="Arial" w:eastAsia="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pStyle w:val="p"/>
        <w:spacing w:before="0" w:after="0"/>
        <w:ind w:left="425" w:right="0"/>
        <w:jc w:val="both"/>
        <w:rPr>
          <w:rFonts w:ascii="Arial" w:eastAsia="Arial" w:hAnsi="Arial" w:cs="Arial"/>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i/>
          <w:iCs/>
          <w:sz w:val="22"/>
          <w:szCs w:val="22"/>
        </w:rPr>
        <w:t xml:space="preserve">End of Year Show </w:t>
      </w:r>
      <w:r w:rsidRPr="2030048C">
        <w:rPr>
          <w:rFonts w:ascii="Arial" w:eastAsia="Arial" w:hAnsi="Arial" w:cs="Arial"/>
          <w:sz w:val="22"/>
          <w:szCs w:val="22"/>
        </w:rPr>
        <w:t>–</w:t>
      </w:r>
      <w:r w:rsidRPr="2030048C">
        <w:rPr>
          <w:rFonts w:ascii="Arial" w:eastAsia="Arial" w:hAnsi="Arial" w:cs="Arial"/>
          <w:b/>
          <w:bCs/>
          <w:i/>
          <w:iCs/>
          <w:sz w:val="22"/>
          <w:szCs w:val="22"/>
        </w:rPr>
        <w:t xml:space="preserve"> </w:t>
      </w:r>
      <w:r w:rsidRPr="2030048C">
        <w:rPr>
          <w:rFonts w:ascii="Arial" w:eastAsia="Arial" w:hAnsi="Arial" w:cs="Arial"/>
          <w:sz w:val="22"/>
          <w:szCs w:val="22"/>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2030048C">
        <w:rPr>
          <w:rFonts w:ascii="Arial" w:eastAsia="Arial" w:hAnsi="Arial" w:cs="Arial"/>
          <w:b/>
          <w:bCs/>
          <w:i/>
          <w:iCs/>
          <w:sz w:val="22"/>
          <w:szCs w:val="22"/>
        </w:rPr>
        <w:t>.</w:t>
      </w:r>
    </w:p>
    <w:p w:rsidRPr="2030048C" w:rsidP="2030048C">
      <w:pPr>
        <w:pStyle w:val="Bullet"/>
        <w:spacing w:before="0" w:after="0"/>
        <w:ind w:left="425" w:right="0"/>
        <w:jc w:val="both"/>
        <w:rPr>
          <w:rFonts w:ascii="Arial" w:eastAsia="Arial" w:hAnsi="Arial" w:cs="Arial"/>
          <w:b/>
          <w:bCs/>
          <w:sz w:val="22"/>
          <w:szCs w:val="22"/>
        </w:rPr>
      </w:pPr>
    </w:p>
    <w:p w:rsidRPr="2030048C" w:rsidP="2030048C">
      <w:pPr>
        <w:pStyle w:val="Bullet"/>
        <w:spacing w:before="0" w:after="0"/>
        <w:ind w:left="425" w:right="0" w:hanging="425"/>
        <w:jc w:val="both"/>
        <w:rPr>
          <w:rFonts w:ascii="Times New Roman" w:eastAsia="Times New Roman" w:hAnsi="Times New Roman" w:cs="Times New Roman"/>
          <w:sz w:val="22"/>
          <w:szCs w:val="22"/>
        </w:rPr>
      </w:pPr>
      <w:r w:rsidRPr="2030048C">
        <w:rPr>
          <w:rFonts w:ascii="Symbol" w:eastAsia="Symbol" w:hAnsi="Symbol" w:cs="Symbol"/>
          <w:b w:val="0"/>
          <w:bCs w:val="0"/>
          <w:sz w:val="16"/>
          <w:szCs w:val="16"/>
        </w:rPr>
        <w:sym w:font="Symbol" w:char="F0A8"/>
      </w:r>
      <w:r w:rsidRPr="2030048C">
        <w:rPr>
          <w:rFonts w:ascii="Times New Roman" w:eastAsia="Times New Roman" w:hAnsi="Times New Roman" w:cs="Times New Roman"/>
          <w:b w:val="0"/>
          <w:bCs w:val="0"/>
          <w:i w:val="0"/>
          <w:iCs w:val="0"/>
          <w:smallCaps w:val="0"/>
          <w:sz w:val="14"/>
          <w:szCs w:val="14"/>
        </w:rPr>
        <w:t xml:space="preserve">          </w:t>
      </w:r>
      <w:r w:rsidRPr="2030048C">
        <w:rPr>
          <w:rFonts w:ascii="Arial" w:eastAsia="Arial" w:hAnsi="Arial" w:cs="Arial"/>
          <w:b/>
          <w:bCs/>
          <w:sz w:val="22"/>
          <w:szCs w:val="22"/>
        </w:rPr>
        <w:t xml:space="preserve">Accessibility and Inclusiveness </w:t>
      </w:r>
      <w:r w:rsidRPr="2030048C">
        <w:rPr>
          <w:rFonts w:ascii="Arial" w:eastAsia="Arial" w:hAnsi="Arial" w:cs="Arial"/>
          <w:sz w:val="22"/>
          <w:szCs w:val="22"/>
        </w:rPr>
        <w:t xml:space="preserve">- The course has been designed to remove unnecessary barriers to access for students from protected groups. </w:t>
      </w:r>
      <w:r w:rsidRPr="2030048C">
        <w:rPr>
          <w:rFonts w:ascii="Arial" w:eastAsia="Arial" w:hAnsi="Arial" w:cs="Arial"/>
          <w:sz w:val="22"/>
          <w:szCs w:val="22"/>
        </w:rPr>
        <w:t>The School acknowledges that a 'one-size-fits-all' model does not work for our students, whose differing backgrounds, learning journeys and aspirations challenge us to provide a student experience that equips them to succeed.</w:t>
      </w:r>
    </w:p>
    <w:p w:rsidRPr="2030048C" w:rsidP="2030048C">
      <w:pPr>
        <w:pStyle w:val="Body"/>
        <w:spacing w:before="0" w:after="0"/>
        <w:ind w:left="0" w:right="0"/>
        <w:jc w:val="both"/>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b/>
          <w:bCs/>
          <w:sz w:val="22"/>
          <w:szCs w:val="22"/>
        </w:rPr>
        <w:t>ASSESSMENT</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2"/>
          <w:szCs w:val="22"/>
        </w:rPr>
      </w:pPr>
      <w:r w:rsidRPr="2030048C">
        <w:rPr>
          <w:rFonts w:ascii="Arial" w:eastAsia="Arial" w:hAnsi="Arial" w:cs="Arial"/>
          <w:sz w:val="22"/>
          <w:szCs w:val="22"/>
        </w:rPr>
        <w:t>Assessment is both summative and formative.</w:t>
      </w:r>
      <w:r w:rsidRPr="2030048C">
        <w:rPr>
          <w:rFonts w:ascii="Arial" w:eastAsia="Arial" w:hAnsi="Arial" w:cs="Arial"/>
          <w:sz w:val="22"/>
          <w:szCs w:val="22"/>
        </w:rPr>
        <w:t xml:space="preserve">  </w:t>
      </w:r>
      <w:r w:rsidRPr="2030048C">
        <w:rPr>
          <w:rFonts w:ascii="Arial" w:eastAsia="Arial" w:hAnsi="Arial" w:cs="Arial"/>
          <w:sz w:val="22"/>
          <w:szCs w:val="22"/>
        </w:rPr>
        <w:t xml:space="preserve">Primarily, summative assessment is intended to identify what has been learned (assessment </w:t>
      </w:r>
      <w:r w:rsidRPr="2030048C">
        <w:rPr>
          <w:rFonts w:ascii="Arial" w:eastAsia="Arial" w:hAnsi="Arial" w:cs="Arial"/>
          <w:sz w:val="22"/>
          <w:szCs w:val="22"/>
          <w:u w:val="single"/>
        </w:rPr>
        <w:t>of</w:t>
      </w:r>
      <w:r w:rsidRPr="2030048C">
        <w:rPr>
          <w:rFonts w:ascii="Arial" w:eastAsia="Arial" w:hAnsi="Arial" w:cs="Arial"/>
          <w:sz w:val="22"/>
          <w:szCs w:val="22"/>
        </w:rPr>
        <w:t xml:space="preserve"> learning) and therefore assessed mark counts towards the module grade awarded.</w:t>
      </w:r>
      <w:r w:rsidRPr="2030048C">
        <w:rPr>
          <w:rFonts w:ascii="Arial" w:eastAsia="Arial" w:hAnsi="Arial" w:cs="Arial"/>
          <w:sz w:val="22"/>
          <w:szCs w:val="22"/>
        </w:rPr>
        <w:t xml:space="preserve">  </w:t>
      </w:r>
      <w:r w:rsidRPr="2030048C">
        <w:rPr>
          <w:rFonts w:ascii="Arial" w:eastAsia="Arial" w:hAnsi="Arial" w:cs="Arial"/>
          <w:sz w:val="22"/>
          <w:szCs w:val="22"/>
        </w:rPr>
        <w:t xml:space="preserve">Formative assessment is intended to help students to learn (assessment </w:t>
      </w:r>
      <w:r w:rsidRPr="2030048C">
        <w:rPr>
          <w:rFonts w:ascii="Arial" w:eastAsia="Arial" w:hAnsi="Arial" w:cs="Arial"/>
          <w:sz w:val="22"/>
          <w:szCs w:val="22"/>
          <w:u w:val="single"/>
        </w:rPr>
        <w:t>for</w:t>
      </w:r>
      <w:r w:rsidRPr="2030048C">
        <w:rPr>
          <w:rFonts w:ascii="Arial" w:eastAsia="Arial" w:hAnsi="Arial" w:cs="Arial"/>
          <w:sz w:val="22"/>
          <w:szCs w:val="22"/>
        </w:rPr>
        <w:t xml:space="preserve"> learning) and provides opportunities for students to identify their strengths and weaknesses, and focus on areas they need to work on and improve.</w:t>
      </w:r>
      <w:r w:rsidRPr="2030048C">
        <w:rPr>
          <w:rFonts w:ascii="Arial" w:eastAsia="Arial" w:hAnsi="Arial" w:cs="Arial"/>
          <w:sz w:val="22"/>
          <w:szCs w:val="22"/>
        </w:rPr>
        <w:t xml:space="preserve">    </w:t>
      </w:r>
      <w:r w:rsidRPr="2030048C">
        <w:rPr>
          <w:rFonts w:ascii="Arial" w:eastAsia="Arial" w:hAnsi="Arial" w:cs="Arial"/>
          <w:sz w:val="22"/>
          <w:szCs w:val="22"/>
        </w:rPr>
        <w:t>The assessment strategy and criteria are clearly described in every written brief and mapped appropriately to the module learning outcomes.</w:t>
      </w:r>
      <w:r w:rsidRPr="2030048C">
        <w:rPr>
          <w:rFonts w:ascii="Arial" w:eastAsia="Arial" w:hAnsi="Arial" w:cs="Arial"/>
          <w:sz w:val="22"/>
          <w:szCs w:val="22"/>
        </w:rPr>
        <w:t xml:space="preserve">  </w:t>
      </w:r>
      <w:r w:rsidRPr="2030048C">
        <w:rPr>
          <w:rFonts w:ascii="Arial" w:eastAsia="Arial" w:hAnsi="Arial" w:cs="Arial"/>
          <w:sz w:val="22"/>
          <w:szCs w:val="22"/>
        </w:rPr>
        <w:t>The assessment criteria are generally additionally communicated verbally at each project briefing.</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u w:val="single"/>
        </w:rPr>
        <w:t>The Personal Tutor Scheme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Aims of the Design School Personal Tutor Scheme:</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To provide appropriate academic advice and guidance throughout a student’s studies by monitoring progress and identifying individual needs.</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To provide a holistic overview and guidance for individual study and the development of personal practice.</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To provide a formalis</w:t>
      </w:r>
      <w:r w:rsidRPr="2030048C">
        <w:rPr>
          <w:rFonts w:ascii="Arial" w:eastAsia="Arial" w:hAnsi="Arial" w:cs="Arial"/>
          <w:sz w:val="24"/>
          <w:szCs w:val="24"/>
        </w:rPr>
        <w:t>ed structure for the ongoing process of formative feedback and personal development embedded in studio culture and teaching.</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To help to develop a student’s ability to be self-reliant and reflective and their ability to use feedback/feed forward to best advantage.</w:t>
      </w:r>
    </w:p>
    <w:p w:rsidRPr="2030048C" w:rsidP="2030048C">
      <w:pPr>
        <w:ind w:left="72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Key Features of the Design School Personal Tutor scheme: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Personal Tutors will be allocated at the beginning of the academic year.</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The introductory/welcome tutorial meeting will occur at the beginning of the academic year. Subsequent tutorials will follow and respond to key/stages in the academic year.</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S</w:t>
      </w:r>
      <w:r w:rsidRPr="2030048C">
        <w:rPr>
          <w:rFonts w:ascii="Arial" w:eastAsia="Arial" w:hAnsi="Arial" w:cs="Arial"/>
          <w:sz w:val="24"/>
          <w:szCs w:val="24"/>
        </w:rPr>
        <w:t>tudents will keep the same personal tutor throughout each year: level 4,</w:t>
      </w:r>
      <w:r w:rsidRPr="2030048C">
        <w:rPr>
          <w:rFonts w:ascii="Arial" w:eastAsia="Arial" w:hAnsi="Arial" w:cs="Arial"/>
          <w:sz w:val="24"/>
          <w:szCs w:val="24"/>
        </w:rPr>
        <w:t xml:space="preserve"> </w:t>
      </w:r>
      <w:r w:rsidRPr="2030048C">
        <w:rPr>
          <w:rFonts w:ascii="Arial" w:eastAsia="Arial" w:hAnsi="Arial" w:cs="Arial"/>
          <w:sz w:val="24"/>
          <w:szCs w:val="24"/>
        </w:rPr>
        <w:t>5</w:t>
      </w:r>
      <w:r w:rsidRPr="2030048C">
        <w:rPr>
          <w:rFonts w:ascii="Arial" w:eastAsia="Arial" w:hAnsi="Arial" w:cs="Arial"/>
          <w:sz w:val="24"/>
          <w:szCs w:val="24"/>
        </w:rPr>
        <w:t xml:space="preserve"> and </w:t>
      </w:r>
      <w:r w:rsidRPr="2030048C">
        <w:rPr>
          <w:rFonts w:ascii="Arial" w:eastAsia="Arial" w:hAnsi="Arial" w:cs="Arial"/>
          <w:sz w:val="24"/>
          <w:szCs w:val="24"/>
        </w:rPr>
        <w:t>6.</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One-to-one meetings will vary in length depending on the profile and needs of individual students.</w:t>
      </w:r>
    </w:p>
    <w:p w:rsidRPr="2030048C" w:rsidP="2030048C">
      <w:pPr>
        <w:ind w:left="426"/>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Design School employs permanent staff members to lead levels 4, 5 and 6. The permanent nature of the staff affords them substantial and visible presence for students across all levels </w:t>
      </w:r>
      <w:r w:rsidRPr="2030048C">
        <w:rPr>
          <w:rFonts w:ascii="Arial" w:eastAsia="Arial" w:hAnsi="Arial" w:cs="Arial"/>
          <w:sz w:val="24"/>
          <w:szCs w:val="24"/>
        </w:rPr>
        <w:t xml:space="preserve">and as such is designed to be </w:t>
      </w:r>
      <w:r w:rsidRPr="2030048C">
        <w:rPr>
          <w:rFonts w:ascii="Arial" w:eastAsia="Arial" w:hAnsi="Arial" w:cs="Arial"/>
          <w:sz w:val="24"/>
          <w:szCs w:val="24"/>
        </w:rPr>
        <w:t>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Level 4:</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Teaching block 1: minimum of 3 1:1 meetings</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Teaching block 2: minimum of 2 face-to-face meetings (may be group or 1:1)</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sz w:val="24"/>
          <w:szCs w:val="24"/>
        </w:rPr>
        <w:t>Level 5:</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Welcome back and year planning meeting, 1:1</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 xml:space="preserve">End of teaching block 1: email contact or 1:1 </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Level 6:</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Welcome back and year planning meeting, 1:1</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 xml:space="preserve">End of teaching block 1: email contact or 1:1 </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Studio Structure</w:t>
      </w:r>
    </w:p>
    <w:p w:rsidRPr="2030048C" w:rsidP="2030048C">
      <w:pPr>
        <w:jc w:val="both"/>
        <w:rPr>
          <w:rFonts w:ascii="Arial" w:eastAsia="Arial" w:hAnsi="Arial" w:cs="Arial"/>
          <w:sz w:val="24"/>
          <w:szCs w:val="24"/>
        </w:rPr>
      </w:pPr>
      <w:r w:rsidRPr="2030048C">
        <w:rPr>
          <w:rFonts w:ascii="Arial" w:eastAsia="Arial" w:hAnsi="Arial" w:cs="Arial"/>
          <w:sz w:val="24"/>
          <w:szCs w:val="24"/>
        </w:rPr>
        <w:t>All courses within the Design School place the studio at the heart of the learning support experience.</w:t>
      </w:r>
      <w:r w:rsidRPr="2030048C">
        <w:rPr>
          <w:rFonts w:ascii="Arial" w:eastAsia="Arial" w:hAnsi="Arial" w:cs="Arial"/>
          <w:sz w:val="24"/>
          <w:szCs w:val="24"/>
        </w:rPr>
        <w:t> </w:t>
      </w:r>
      <w:r w:rsidRPr="2030048C">
        <w:rPr>
          <w:rFonts w:ascii="Arial" w:eastAsia="Arial" w:hAnsi="Arial" w:cs="Arial"/>
          <w:sz w:val="24"/>
          <w:szCs w:val="24"/>
        </w:rPr>
        <w:t xml:space="preserv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w:t>
      </w:r>
      <w:r w:rsidRPr="2030048C">
        <w:rPr>
          <w:rFonts w:ascii="Arial" w:eastAsia="Arial" w:hAnsi="Arial" w:cs="Arial"/>
          <w:sz w:val="24"/>
          <w:szCs w:val="24"/>
        </w:rPr>
        <w:t> </w:t>
      </w:r>
      <w:r w:rsidRPr="2030048C">
        <w:rPr>
          <w:rFonts w:ascii="Arial" w:eastAsia="Arial" w:hAnsi="Arial" w:cs="Arial"/>
          <w:sz w:val="24"/>
          <w:szCs w:val="24"/>
        </w:rPr>
        <w:t> </w:t>
      </w:r>
      <w:r w:rsidRPr="2030048C">
        <w:rPr>
          <w:rFonts w:ascii="Arial" w:eastAsia="Arial" w:hAnsi="Arial" w:cs="Arial"/>
          <w:sz w:val="24"/>
          <w:szCs w:val="24"/>
        </w:rPr>
        <w:t xml:space="preserve"> The studio provides a natural and readily available environment for peer-to-peer learning and group work. It also accommodates 1:1 contact and individual learning.</w:t>
      </w:r>
      <w:r w:rsidRPr="2030048C">
        <w:rPr>
          <w:rFonts w:ascii="Arial" w:eastAsia="Arial" w:hAnsi="Arial" w:cs="Arial"/>
          <w:sz w:val="24"/>
          <w:szCs w:val="24"/>
        </w:rPr>
        <w:t> </w:t>
      </w:r>
      <w:r w:rsidRPr="2030048C">
        <w:rPr>
          <w:rFonts w:ascii="Arial" w:eastAsia="Arial" w:hAnsi="Arial" w:cs="Arial"/>
          <w:sz w:val="24"/>
          <w:szCs w:val="24"/>
        </w:rPr>
        <w:t xml:space="preserve"> A strategic programme of lectures, seminars and workshops supports the studio learning experience.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Workshop Structure</w:t>
      </w:r>
    </w:p>
    <w:p w:rsidRPr="2030048C" w:rsidP="2030048C">
      <w:pPr>
        <w:jc w:val="both"/>
        <w:rPr>
          <w:rFonts w:ascii="Arial" w:eastAsia="Arial" w:hAnsi="Arial" w:cs="Arial"/>
          <w:sz w:val="24"/>
          <w:szCs w:val="24"/>
        </w:rPr>
      </w:pPr>
      <w:r w:rsidRPr="2030048C">
        <w:rPr>
          <w:rFonts w:ascii="Arial" w:eastAsia="Arial" w:hAnsi="Arial" w:cs="Arial"/>
          <w:sz w:val="24"/>
          <w:szCs w:val="24"/>
        </w:rPr>
        <w:t>The diverse range of Faculty workshop spaces provide an integral resource to support studio learning. They are an extension of the studio space but equipped with particular, specialist facilities.</w:t>
      </w:r>
      <w:r w:rsidRPr="2030048C">
        <w:rPr>
          <w:rFonts w:ascii="Arial" w:eastAsia="Arial" w:hAnsi="Arial" w:cs="Arial"/>
          <w:sz w:val="24"/>
          <w:szCs w:val="24"/>
        </w:rPr>
        <w:t> </w:t>
      </w:r>
      <w:r w:rsidRPr="2030048C">
        <w:rPr>
          <w:rFonts w:ascii="Arial" w:eastAsia="Arial" w:hAnsi="Arial" w:cs="Arial"/>
          <w:sz w:val="24"/>
          <w:szCs w:val="24"/>
        </w:rPr>
        <w:t xml:space="preserve"> The workshops are a primary means of facilitating connections with external partners. </w:t>
      </w:r>
      <w:r w:rsidRPr="2030048C">
        <w:rPr>
          <w:rFonts w:ascii="Arial" w:eastAsia="Arial" w:hAnsi="Arial" w:cs="Arial"/>
          <w:sz w:val="24"/>
          <w:szCs w:val="24"/>
        </w:rPr>
        <w:t> </w:t>
      </w: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Staff Structure</w:t>
      </w: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staff support structure maps to the studio system.</w:t>
      </w:r>
      <w:r w:rsidRPr="2030048C">
        <w:rPr>
          <w:rFonts w:ascii="Arial" w:eastAsia="Arial" w:hAnsi="Arial" w:cs="Arial"/>
          <w:sz w:val="24"/>
          <w:szCs w:val="24"/>
        </w:rPr>
        <w:t> </w:t>
      </w:r>
      <w:r w:rsidRPr="2030048C">
        <w:rPr>
          <w:rFonts w:ascii="Arial" w:eastAsia="Arial" w:hAnsi="Arial" w:cs="Arial"/>
          <w:sz w:val="24"/>
          <w:szCs w:val="24"/>
        </w:rPr>
        <w:t xml:space="preserve"> Course </w:t>
      </w:r>
      <w:r w:rsidRPr="2030048C">
        <w:rPr>
          <w:rFonts w:ascii="Arial" w:eastAsia="Arial" w:hAnsi="Arial" w:cs="Arial"/>
          <w:sz w:val="24"/>
          <w:szCs w:val="24"/>
        </w:rPr>
        <w:t>D</w:t>
      </w:r>
      <w:r w:rsidRPr="2030048C">
        <w:rPr>
          <w:rFonts w:ascii="Arial" w:eastAsia="Arial" w:hAnsi="Arial" w:cs="Arial"/>
          <w:sz w:val="24"/>
          <w:szCs w:val="24"/>
        </w:rPr>
        <w:t>irectors coordinate all levels and studios within a course. For postgraduate this is a single level and studio and for undergraduate three levels and corresponding studios.</w:t>
      </w:r>
      <w:r w:rsidRPr="2030048C">
        <w:rPr>
          <w:rFonts w:ascii="Arial" w:eastAsia="Arial" w:hAnsi="Arial" w:cs="Arial"/>
          <w:sz w:val="24"/>
          <w:szCs w:val="24"/>
        </w:rPr>
        <w:t> </w:t>
      </w:r>
      <w:r w:rsidRPr="2030048C">
        <w:rPr>
          <w:rFonts w:ascii="Arial" w:eastAsia="Arial" w:hAnsi="Arial" w:cs="Arial"/>
          <w:sz w:val="24"/>
          <w:szCs w:val="24"/>
        </w:rPr>
        <w:t xml:space="preserve"> </w:t>
      </w:r>
      <w:r w:rsidRPr="2030048C">
        <w:rPr>
          <w:rFonts w:ascii="Arial" w:eastAsia="Arial" w:hAnsi="Arial" w:cs="Arial"/>
          <w:sz w:val="24"/>
          <w:szCs w:val="24"/>
        </w:rPr>
        <w:t>Modules have Module Leaders and u</w:t>
      </w:r>
      <w:r w:rsidRPr="2030048C">
        <w:rPr>
          <w:rFonts w:ascii="Arial" w:eastAsia="Arial" w:hAnsi="Arial" w:cs="Arial"/>
          <w:sz w:val="24"/>
          <w:szCs w:val="24"/>
        </w:rPr>
        <w:t xml:space="preserve">ndergraduate courses have individual </w:t>
      </w:r>
      <w:r w:rsidRPr="2030048C">
        <w:rPr>
          <w:rFonts w:ascii="Arial" w:eastAsia="Arial" w:hAnsi="Arial" w:cs="Arial"/>
          <w:sz w:val="24"/>
          <w:szCs w:val="24"/>
        </w:rPr>
        <w:t>Level L</w:t>
      </w:r>
      <w:r w:rsidRPr="2030048C">
        <w:rPr>
          <w:rFonts w:ascii="Arial" w:eastAsia="Arial" w:hAnsi="Arial" w:cs="Arial"/>
          <w:sz w:val="24"/>
          <w:szCs w:val="24"/>
        </w:rPr>
        <w:t xml:space="preserve">eaders who provide a consistent point of student contact. They are operational figureheads who work together with staff teams and Hourly Paid Lecturers </w:t>
      </w:r>
      <w:r w:rsidRPr="2030048C">
        <w:rPr>
          <w:rFonts w:ascii="Arial" w:eastAsia="Arial" w:hAnsi="Arial" w:cs="Arial"/>
          <w:sz w:val="24"/>
          <w:szCs w:val="24"/>
        </w:rPr>
        <w:t>[</w:t>
      </w:r>
      <w:r w:rsidRPr="2030048C">
        <w:rPr>
          <w:rFonts w:ascii="Arial" w:eastAsia="Arial" w:hAnsi="Arial" w:cs="Arial"/>
          <w:sz w:val="24"/>
          <w:szCs w:val="24"/>
        </w:rPr>
        <w:t>HPLs</w:t>
      </w:r>
      <w:r w:rsidRPr="2030048C">
        <w:rPr>
          <w:rFonts w:ascii="Arial" w:eastAsia="Arial" w:hAnsi="Arial" w:cs="Arial"/>
          <w:sz w:val="24"/>
          <w:szCs w:val="24"/>
        </w:rPr>
        <w:t>]</w:t>
      </w:r>
      <w:r w:rsidRPr="2030048C">
        <w:rPr>
          <w:rFonts w:ascii="Arial" w:eastAsia="Arial" w:hAnsi="Arial" w:cs="Arial"/>
          <w:sz w:val="24"/>
          <w:szCs w:val="24"/>
        </w:rPr>
        <w:t xml:space="preserve"> (incorporating Module Leaders) to deliver the appropriate learning and teaching experience.</w:t>
      </w:r>
      <w:r w:rsidRPr="2030048C">
        <w:rPr>
          <w:rFonts w:ascii="Arial" w:eastAsia="Arial" w:hAnsi="Arial" w:cs="Arial"/>
          <w:sz w:val="24"/>
          <w:szCs w:val="24"/>
        </w:rPr>
        <w:t> </w:t>
      </w:r>
      <w:r w:rsidRPr="2030048C">
        <w:rPr>
          <w:rFonts w:ascii="Arial" w:eastAsia="Arial" w:hAnsi="Arial" w:cs="Arial"/>
          <w:sz w:val="24"/>
          <w:szCs w:val="24"/>
        </w:rPr>
        <w:t xml:space="preserv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Infrastructure</w:t>
      </w:r>
    </w:p>
    <w:p w:rsidRPr="2030048C" w:rsidP="2030048C">
      <w:pPr>
        <w:jc w:val="both"/>
        <w:rPr>
          <w:rFonts w:ascii="Arial" w:eastAsia="Arial" w:hAnsi="Arial" w:cs="Arial"/>
          <w:sz w:val="24"/>
          <w:szCs w:val="24"/>
        </w:rPr>
      </w:pPr>
      <w:r w:rsidRPr="2030048C">
        <w:rPr>
          <w:rFonts w:ascii="Arial" w:eastAsia="Arial" w:hAnsi="Arial" w:cs="Arial"/>
          <w:sz w:val="24"/>
          <w:szCs w:val="24"/>
        </w:rPr>
        <w:t>The School adopts an infrastructure of learning support means beyond the immediacy of academic courses.</w:t>
      </w:r>
      <w:r w:rsidRPr="2030048C">
        <w:rPr>
          <w:rFonts w:ascii="Arial" w:eastAsia="Arial" w:hAnsi="Arial" w:cs="Arial"/>
          <w:sz w:val="24"/>
          <w:szCs w:val="24"/>
        </w:rPr>
        <w:t> </w:t>
      </w:r>
      <w:r w:rsidRPr="2030048C">
        <w:rPr>
          <w:rFonts w:ascii="Arial" w:eastAsia="Arial" w:hAnsi="Arial" w:cs="Arial"/>
          <w:sz w:val="24"/>
          <w:szCs w:val="24"/>
        </w:rPr>
        <w:t xml:space="preserve"> These broadly divide into key mechanisms (course facing </w:t>
      </w:r>
      <w:r w:rsidRPr="2030048C">
        <w:rPr>
          <w:rFonts w:ascii="Arial" w:eastAsia="Arial" w:hAnsi="Arial" w:cs="Arial"/>
          <w:sz w:val="24"/>
          <w:szCs w:val="24"/>
        </w:rPr>
        <w:t>eg.</w:t>
      </w:r>
      <w:r w:rsidRPr="2030048C">
        <w:rPr>
          <w:rFonts w:ascii="Arial" w:eastAsia="Arial" w:hAnsi="Arial" w:cs="Arial"/>
          <w:sz w:val="24"/>
          <w:szCs w:val="24"/>
        </w:rPr>
        <w:t xml:space="preserve"> NSS) and enhancement opportunities (student facing </w:t>
      </w:r>
      <w:r w:rsidRPr="2030048C">
        <w:rPr>
          <w:rFonts w:ascii="Arial" w:eastAsia="Arial" w:hAnsi="Arial" w:cs="Arial"/>
          <w:sz w:val="24"/>
          <w:szCs w:val="24"/>
        </w:rPr>
        <w:t>eg.</w:t>
      </w:r>
      <w:r w:rsidRPr="2030048C">
        <w:rPr>
          <w:rFonts w:ascii="Arial" w:eastAsia="Arial" w:hAnsi="Arial" w:cs="Arial"/>
          <w:sz w:val="24"/>
          <w:szCs w:val="24"/>
        </w:rPr>
        <w:t xml:space="preserve"> Erasmus), including: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Up-to-date knowledge of relevant University systems and procedures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Student Office with a dedicated Course Administrator</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Academic Success Centre that provides academic skills support for U</w:t>
      </w:r>
      <w:r w:rsidRPr="2030048C">
        <w:rPr>
          <w:rFonts w:ascii="Arial" w:eastAsia="Arial" w:hAnsi="Arial" w:cs="Arial"/>
          <w:sz w:val="24"/>
          <w:szCs w:val="24"/>
        </w:rPr>
        <w:t>ndergraduate and Postgraduate</w:t>
      </w:r>
      <w:r w:rsidRPr="2030048C">
        <w:rPr>
          <w:rFonts w:ascii="Arial" w:eastAsia="Arial" w:hAnsi="Arial" w:cs="Arial"/>
          <w:sz w:val="24"/>
          <w:szCs w:val="24"/>
        </w:rPr>
        <w:t xml:space="preserve"> students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Student Achievement Officer</w:t>
      </w:r>
      <w:r w:rsidRPr="2030048C">
        <w:rPr>
          <w:rFonts w:ascii="Arial" w:eastAsia="Arial" w:hAnsi="Arial" w:cs="Arial"/>
          <w:sz w:val="24"/>
          <w:szCs w:val="24"/>
        </w:rPr>
        <w:t xml:space="preserve"> </w:t>
      </w:r>
      <w:r w:rsidRPr="2030048C">
        <w:rPr>
          <w:rFonts w:ascii="Arial" w:eastAsia="Arial" w:hAnsi="Arial" w:cs="Arial"/>
          <w:sz w:val="24"/>
          <w:szCs w:val="24"/>
        </w:rPr>
        <w:t>who provides students with pastoral advice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VLE/Canvas</w:t>
      </w:r>
      <w:r w:rsidRPr="2030048C">
        <w:rPr>
          <w:rFonts w:ascii="Arial" w:eastAsia="Arial" w:hAnsi="Arial" w:cs="Arial"/>
          <w:sz w:val="24"/>
          <w:szCs w:val="24"/>
        </w:rPr>
        <w:t xml:space="preserve"> – a versatile online interactive intranet and learning environment accessible both on and off-site;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LinkedIn Learning</w:t>
      </w:r>
      <w:r w:rsidRPr="2030048C">
        <w:rPr>
          <w:rFonts w:ascii="Arial" w:eastAsia="Arial" w:hAnsi="Arial" w:cs="Arial"/>
          <w:sz w:val="24"/>
          <w:szCs w:val="24"/>
        </w:rPr>
        <w:t xml:space="preserve"> –</w:t>
      </w:r>
      <w:r w:rsidRPr="2030048C">
        <w:rPr>
          <w:rFonts w:ascii="Arial" w:eastAsia="Arial" w:hAnsi="Arial" w:cs="Arial"/>
          <w:sz w:val="24"/>
          <w:szCs w:val="24"/>
        </w:rPr>
        <w:t xml:space="preserve"> an online platform offering self-paced software tutorials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NUS (National Union of Students)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Union of Kingston Students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University’s </w:t>
      </w:r>
      <w:r w:rsidRPr="2030048C">
        <w:rPr>
          <w:rFonts w:ascii="Arial" w:eastAsia="Arial" w:hAnsi="Arial" w:cs="Arial"/>
          <w:sz w:val="24"/>
          <w:szCs w:val="24"/>
        </w:rPr>
        <w:t>Mentoring Scheme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RPCL (</w:t>
      </w:r>
      <w:r w:rsidRPr="2030048C">
        <w:rPr>
          <w:rFonts w:ascii="Arial" w:eastAsia="Arial" w:hAnsi="Arial" w:cs="Arial"/>
          <w:sz w:val="24"/>
          <w:szCs w:val="24"/>
        </w:rPr>
        <w:t>Recognition</w:t>
      </w:r>
      <w:r w:rsidRPr="2030048C">
        <w:rPr>
          <w:rFonts w:ascii="Arial" w:eastAsia="Arial" w:hAnsi="Arial" w:cs="Arial"/>
          <w:sz w:val="24"/>
          <w:szCs w:val="24"/>
        </w:rPr>
        <w:t xml:space="preserve"> of Prior Certificated Learning)</w:t>
      </w:r>
      <w:r w:rsidRPr="2030048C">
        <w:rPr>
          <w:rFonts w:ascii="Arial" w:eastAsia="Arial" w:hAnsi="Arial" w:cs="Arial"/>
          <w:sz w:val="24"/>
          <w:szCs w:val="24"/>
        </w:rPr>
        <w:t xml:space="preserve"> </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R</w:t>
      </w:r>
      <w:r w:rsidRPr="2030048C">
        <w:rPr>
          <w:rFonts w:ascii="Arial" w:eastAsia="Arial" w:hAnsi="Arial" w:cs="Arial"/>
          <w:sz w:val="24"/>
          <w:szCs w:val="24"/>
        </w:rPr>
        <w:t>PEL (</w:t>
      </w:r>
      <w:r w:rsidRPr="2030048C">
        <w:rPr>
          <w:rFonts w:ascii="Arial" w:eastAsia="Arial" w:hAnsi="Arial" w:cs="Arial"/>
          <w:sz w:val="24"/>
          <w:szCs w:val="24"/>
        </w:rPr>
        <w:t>Recognition</w:t>
      </w:r>
      <w:r w:rsidRPr="2030048C">
        <w:rPr>
          <w:rFonts w:ascii="Arial" w:eastAsia="Arial" w:hAnsi="Arial" w:cs="Arial"/>
          <w:sz w:val="24"/>
          <w:szCs w:val="24"/>
        </w:rPr>
        <w:t xml:space="preserve"> of Prior Experiential Learning) processes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NSS (National Student Survey)</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Staff/Student Consultative Committee (</w:t>
      </w:r>
      <w:r w:rsidRPr="2030048C">
        <w:rPr>
          <w:rFonts w:ascii="Arial" w:eastAsia="Arial" w:hAnsi="Arial" w:cs="Arial"/>
          <w:sz w:val="24"/>
          <w:szCs w:val="24"/>
        </w:rPr>
        <w:t>SSCC</w:t>
      </w:r>
      <w:r w:rsidRPr="2030048C">
        <w:rPr>
          <w:rFonts w:ascii="Arial" w:eastAsia="Arial" w:hAnsi="Arial" w:cs="Arial"/>
          <w:sz w:val="24"/>
          <w:szCs w:val="24"/>
        </w:rPr>
        <w:t>)</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Board of Study </w:t>
      </w:r>
      <w:r w:rsidRPr="2030048C">
        <w:rPr>
          <w:rFonts w:ascii="Arial" w:eastAsia="Arial" w:hAnsi="Arial" w:cs="Arial"/>
          <w:sz w:val="24"/>
          <w:szCs w:val="24"/>
        </w:rPr>
        <w:t>(</w:t>
      </w:r>
      <w:r w:rsidRPr="2030048C">
        <w:rPr>
          <w:rFonts w:ascii="Arial" w:eastAsia="Arial" w:hAnsi="Arial" w:cs="Arial"/>
          <w:sz w:val="24"/>
          <w:szCs w:val="24"/>
        </w:rPr>
        <w:t>BOS</w:t>
      </w:r>
      <w:r w:rsidRPr="2030048C">
        <w:rPr>
          <w:rFonts w:ascii="Arial" w:eastAsia="Arial" w:hAnsi="Arial" w:cs="Arial"/>
          <w:sz w:val="24"/>
          <w:szCs w:val="24"/>
        </w:rPr>
        <w:t>)</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Annual Monitoring</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Erasmus Exchange programmes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Information on Scholarships and Bursaries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Alumni and Graduate Experience</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Language Support for international students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Support for students with Disabilities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University Careers and Employability Services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Faculty-aligned Careers Advisers who run workshops, weekly drop-ins and 1:1 appointments </w:t>
      </w:r>
      <w:r w:rsidRPr="2030048C">
        <w:rPr>
          <w:rFonts w:ascii="Arial" w:eastAsia="Arial" w:hAnsi="Arial" w:cs="Arial"/>
          <w:sz w:val="24"/>
          <w:szCs w:val="24"/>
        </w:rPr>
        <w:t>Information Services, including the Library Resources Centres</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Personal Tutor Scheme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External E</w:t>
      </w:r>
      <w:r w:rsidRPr="2030048C">
        <w:rPr>
          <w:rFonts w:ascii="Arial" w:eastAsia="Arial" w:hAnsi="Arial" w:cs="Arial"/>
          <w:sz w:val="24"/>
          <w:szCs w:val="24"/>
        </w:rPr>
        <w:t>xaminers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Boards of S</w:t>
      </w:r>
      <w:r w:rsidRPr="2030048C">
        <w:rPr>
          <w:rFonts w:ascii="Arial" w:eastAsia="Arial" w:hAnsi="Arial" w:cs="Arial"/>
          <w:sz w:val="24"/>
          <w:szCs w:val="24"/>
        </w:rPr>
        <w:t>tudy with student representation</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Annual </w:t>
      </w:r>
      <w:r w:rsidRPr="2030048C">
        <w:rPr>
          <w:rFonts w:ascii="Arial" w:eastAsia="Arial" w:hAnsi="Arial" w:cs="Arial"/>
          <w:sz w:val="24"/>
          <w:szCs w:val="24"/>
        </w:rPr>
        <w:t>Monitoring and Enhancement</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r w:rsidRPr="2030048C">
        <w:rPr>
          <w:rFonts w:ascii="Arial" w:eastAsia="Arial" w:hAnsi="Arial" w:cs="Arial"/>
          <w:sz w:val="24"/>
          <w:szCs w:val="24"/>
        </w:rPr>
        <w:t xml:space="preserve"> including MEQs</w:t>
      </w:r>
      <w:r w:rsidRPr="2030048C">
        <w:rPr>
          <w:rFonts w:ascii="Arial" w:eastAsia="Arial" w:hAnsi="Arial" w:cs="Arial"/>
          <w:sz w:val="24"/>
          <w:szCs w:val="24"/>
        </w:rPr>
        <w:t xml:space="preserve"> (Module Evaluation Questionnaires)</w:t>
      </w:r>
      <w:r w:rsidRPr="2030048C">
        <w:rPr>
          <w:rFonts w:ascii="Arial" w:eastAsia="Arial" w:hAnsi="Arial" w:cs="Arial"/>
          <w:sz w:val="24"/>
          <w:szCs w:val="24"/>
        </w:rPr>
        <w:t>, Level Surveys and the NSS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1"/>
        <w:gridCol w:w="233"/>
        <w:gridCol w:w="588"/>
        <w:gridCol w:w="588"/>
        <w:gridCol w:w="588"/>
        <w:gridCol w:w="595"/>
        <w:gridCol w:w="2"/>
        <w:gridCol w:w="588"/>
        <w:gridCol w:w="588"/>
        <w:gridCol w:w="588"/>
        <w:gridCol w:w="593"/>
        <w:gridCol w:w="4"/>
        <w:gridCol w:w="588"/>
        <w:gridCol w:w="588"/>
        <w:gridCol w:w="588"/>
        <w:gridCol w:w="597"/>
        <w:gridCol w:w="58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PD6002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_0"/>
    <w:basedOn w:val="ListParagraph"/>
  </w:style>
  <w:style w:type="paragraph" w:customStyle="1" w:styleId="Body">
    <w:name w:val="Body"/>
    <w:basedOn w:val="Normal"/>
    <w:rPr>
      <w:sz w:val="24"/>
      <w:szCs w:val="24"/>
    </w:rPr>
  </w:style>
  <w:style w:type="paragraph" w:customStyle="1" w:styleId="li">
    <w:name w:val="li"/>
    <w:basedOn w:val="Normal"/>
  </w:style>
  <w:style w:type="paragraph" w:customStyle="1" w:styleId="Bullet">
    <w:name w:val="Bullet"/>
    <w:basedOn w:val="Normal"/>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59C9A9A-9115-4098-99E6-A1B94C70DF9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