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Media Skills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Creative and Cultural Industries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Journalism,  Publishing and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Media Skills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Media Skills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UFMSK1MSK01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P302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This programme has been granted an exemption from the Academic Framework, permitting the inclusion of optional modules.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
        <w:widowControl w:val="0"/>
        <w:numPr>
          <w:ilvl w:val="0"/>
          <w:numId w:val="12"/>
        </w:numPr>
        <w:pBdr>
          <w:left w:val="none" w:sz="0" w:space="7" w:color="auto"/>
        </w:pBdr>
        <w:spacing w:before="0" w:after="0" w:line="240" w:lineRule="atLeast"/>
        <w:ind w:left="720" w:right="0" w:hanging="519"/>
        <w:jc w:val="both"/>
        <w:rPr>
          <w:rStyle w:val="normaltextrun"/>
          <w:rFonts w:ascii="Times New Roman" w:eastAsia="Times New Roman" w:hAnsi="Times New Roman" w:cs="Times New Roman"/>
          <w:color w:val="000000" w:themeColor="text1"/>
          <w:spacing w:val="-3"/>
          <w:sz w:val="22"/>
          <w:szCs w:val="22"/>
          <w:shd w:val="clear" w:color="auto" w:fill="FFFFFF"/>
        </w:rPr>
      </w:pPr>
      <w:r w:rsidRPr="2030048C">
        <w:rPr>
          <w:rStyle w:val="normaltextrun"/>
          <w:rFonts w:ascii="Arial" w:eastAsia="Arial" w:hAnsi="Arial" w:cs="Arial"/>
          <w:color w:val="000000" w:themeColor="text1"/>
          <w:spacing w:val="-3"/>
          <w:sz w:val="22"/>
          <w:szCs w:val="22"/>
          <w:shd w:val="clear" w:color="auto" w:fill="FFFFFF"/>
        </w:rPr>
        <w:t>to develop and enhance students’ skills and competencies through engaging with the practical side of media (scriptwriting, production) and in the production of a series of short projects:</w:t>
      </w:r>
    </w:p>
    <w:p w:rsidRPr="2030048C" w:rsidP="2030048C">
      <w:pPr>
        <w:pStyle w:val="li"/>
        <w:numPr>
          <w:ilvl w:val="0"/>
          <w:numId w:val="12"/>
        </w:numPr>
        <w:pBdr>
          <w:left w:val="none" w:sz="0" w:space="7" w:color="auto"/>
        </w:pBdr>
        <w:spacing w:before="0" w:after="0" w:line="240" w:lineRule="atLeast"/>
        <w:ind w:left="720" w:right="0" w:hanging="519"/>
        <w:jc w:val="both"/>
        <w:rPr>
          <w:rStyle w:val="normaltextrun"/>
          <w:rFonts w:ascii="Times New Roman" w:eastAsia="Times New Roman" w:hAnsi="Times New Roman" w:cs="Times New Roman"/>
          <w:color w:val="000000" w:themeColor="text1"/>
          <w:spacing w:val="-3"/>
          <w:sz w:val="22"/>
          <w:szCs w:val="22"/>
          <w:shd w:val="clear" w:color="auto" w:fill="FFFFFF"/>
        </w:rPr>
      </w:pPr>
      <w:r w:rsidRPr="2030048C">
        <w:rPr>
          <w:rStyle w:val="normaltextrun"/>
          <w:rFonts w:ascii="Arial" w:eastAsia="Arial" w:hAnsi="Arial" w:cs="Arial"/>
          <w:color w:val="000000" w:themeColor="text1"/>
          <w:spacing w:val="-3"/>
          <w:sz w:val="22"/>
          <w:szCs w:val="22"/>
          <w:shd w:val="clear" w:color="auto" w:fill="FFFFFF"/>
        </w:rPr>
        <w:t>to provide the opportunity for students to realise their creative potential through these practical activities – both as a complement to their academic studies and for their own intrinsic value</w:t>
      </w:r>
    </w:p>
    <w:p w:rsidRPr="2030048C" w:rsidP="2030048C">
      <w:pPr>
        <w:pStyle w:val="li"/>
        <w:numPr>
          <w:ilvl w:val="0"/>
          <w:numId w:val="12"/>
        </w:numPr>
        <w:pBdr>
          <w:left w:val="none" w:sz="0" w:space="7" w:color="auto"/>
        </w:pBdr>
        <w:spacing w:before="0" w:after="0" w:line="240" w:lineRule="atLeast"/>
        <w:ind w:left="720" w:right="0" w:hanging="519"/>
        <w:jc w:val="both"/>
        <w:rPr>
          <w:rStyle w:val="normaltextrun"/>
          <w:rFonts w:ascii="Times New Roman" w:eastAsia="Times New Roman" w:hAnsi="Times New Roman" w:cs="Times New Roman"/>
          <w:color w:val="000000" w:themeColor="text1"/>
          <w:spacing w:val="-3"/>
          <w:sz w:val="22"/>
          <w:szCs w:val="22"/>
          <w:shd w:val="clear" w:color="auto" w:fill="FFFFFF"/>
        </w:rPr>
      </w:pPr>
      <w:r w:rsidRPr="2030048C">
        <w:rPr>
          <w:rStyle w:val="normaltextrun"/>
          <w:rFonts w:ascii="Arial" w:eastAsia="Arial" w:hAnsi="Arial" w:cs="Arial"/>
          <w:color w:val="000000" w:themeColor="text1"/>
          <w:spacing w:val="-3"/>
          <w:sz w:val="22"/>
          <w:szCs w:val="22"/>
          <w:shd w:val="clear" w:color="auto" w:fill="FFFFFF"/>
        </w:rPr>
        <w:t>to cultivate a practical and theoretical approach to media that will require students to explore how different bodies of knowledge can be related one to the other and that will develop a capacity for intellectual flexibility</w:t>
      </w:r>
    </w:p>
    <w:p w:rsidRPr="2030048C" w:rsidP="2030048C">
      <w:pPr>
        <w:pStyle w:val="li"/>
        <w:numPr>
          <w:ilvl w:val="0"/>
          <w:numId w:val="12"/>
        </w:numPr>
        <w:pBdr>
          <w:left w:val="none" w:sz="0" w:space="7" w:color="auto"/>
        </w:pBdr>
        <w:spacing w:before="0" w:after="0" w:line="240" w:lineRule="atLeast"/>
        <w:ind w:left="720" w:right="0" w:hanging="519"/>
        <w:jc w:val="both"/>
        <w:rPr>
          <w:rStyle w:val="normaltextrun"/>
          <w:rFonts w:ascii="Times New Roman" w:eastAsia="Times New Roman" w:hAnsi="Times New Roman" w:cs="Times New Roman"/>
          <w:color w:val="000000" w:themeColor="text1"/>
          <w:spacing w:val="-3"/>
          <w:sz w:val="22"/>
          <w:szCs w:val="22"/>
          <w:shd w:val="clear" w:color="auto" w:fill="FFFFFF"/>
        </w:rPr>
      </w:pPr>
      <w:r w:rsidRPr="2030048C">
        <w:rPr>
          <w:rStyle w:val="normaltextrun"/>
          <w:rFonts w:ascii="Arial" w:eastAsia="Arial" w:hAnsi="Arial" w:cs="Arial"/>
          <w:color w:val="000000" w:themeColor="text1"/>
          <w:spacing w:val="-3"/>
          <w:sz w:val="22"/>
          <w:szCs w:val="22"/>
          <w:shd w:val="clear" w:color="auto" w:fill="FFFFFF"/>
        </w:rPr>
        <w:t xml:space="preserve">to encourage the students’ intellectual curiosity and to foster their capacity for critical thought so that the study of Media will promote their ability to understand and be critical of developments </w:t>
      </w:r>
      <w:r w:rsidRPr="2030048C">
        <w:rPr>
          <w:rStyle w:val="normaltextrun"/>
          <w:rFonts w:ascii="Arial" w:eastAsia="Arial" w:hAnsi="Arial" w:cs="Arial"/>
          <w:color w:val="000000" w:themeColor="text1"/>
          <w:spacing w:val="-3"/>
          <w:sz w:val="22"/>
          <w:szCs w:val="22"/>
          <w:shd w:val="clear" w:color="auto" w:fill="FFFFFF"/>
        </w:rPr>
        <w:t>in</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pacing w:val="-3"/>
          <w:sz w:val="22"/>
          <w:szCs w:val="22"/>
          <w:shd w:val="clear" w:color="auto" w:fill="FFFFFF"/>
        </w:rPr>
        <w:t>modern</w:t>
      </w:r>
      <w:r w:rsidRPr="2030048C">
        <w:rPr>
          <w:rStyle w:val="normaltextrun"/>
          <w:rFonts w:ascii="Arial" w:eastAsia="Arial" w:hAnsi="Arial" w:cs="Arial"/>
          <w:color w:val="000000" w:themeColor="text1"/>
          <w:spacing w:val="-3"/>
          <w:sz w:val="22"/>
          <w:szCs w:val="22"/>
          <w:shd w:val="clear" w:color="auto" w:fill="FFFFFF"/>
        </w:rPr>
        <w:t xml:space="preserve"> media and culture;</w:t>
      </w:r>
    </w:p>
    <w:p w:rsidRPr="2030048C" w:rsidP="2030048C">
      <w:pPr>
        <w:pStyle w:val="li"/>
        <w:numPr>
          <w:ilvl w:val="0"/>
          <w:numId w:val="13"/>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students’ ability to apply methods of analysis and achieve an understanding of theoretical perspectives which can enable them to appreciate the complexity of concepts, a variety of aesthetic qualities and forms, patterns of culture, and modes of representation.</w:t>
      </w:r>
    </w:p>
    <w:p w:rsidRPr="2030048C" w:rsidP="2030048C">
      <w:pPr>
        <w:pStyle w:val="BodyText3"/>
        <w:numPr>
          <w:ilvl w:val="0"/>
          <w:numId w:val="13"/>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To develop an awareness of </w:t>
      </w:r>
      <w:r w:rsidRPr="2030048C">
        <w:rPr>
          <w:rStyle w:val="normaltextrun"/>
          <w:rFonts w:ascii="Arial" w:eastAsia="Arial" w:hAnsi="Arial" w:cs="Arial"/>
          <w:color w:val="000000" w:themeColor="text1"/>
          <w:sz w:val="22"/>
          <w:szCs w:val="22"/>
          <w:shd w:val="clear" w:color="auto" w:fill="FFFFFF"/>
        </w:rPr>
        <w:t>particular media</w:t>
      </w:r>
      <w:r w:rsidRPr="2030048C">
        <w:rPr>
          <w:rStyle w:val="normaltextrun"/>
          <w:rFonts w:ascii="Arial" w:eastAsia="Arial" w:hAnsi="Arial" w:cs="Arial"/>
          <w:color w:val="000000" w:themeColor="text1"/>
          <w:sz w:val="22"/>
          <w:szCs w:val="22"/>
          <w:shd w:val="clear" w:color="auto" w:fill="FFFFFF"/>
        </w:rPr>
        <w:t xml:space="preserve"> forms (including film and television), movements and genres, along with their differing organisation of understandings, meanings and affects.</w:t>
      </w: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li"/>
        <w:numPr>
          <w:ilvl w:val="0"/>
          <w:numId w:val="13"/>
        </w:numPr>
        <w:pBdr>
          <w:left w:val="none" w:sz="0" w:space="7" w:color="auto"/>
        </w:pBdr>
        <w:spacing w:before="0" w:after="0" w:line="240" w:lineRule="atLeast"/>
        <w:ind w:left="720" w:right="0" w:hanging="519"/>
        <w:jc w:val="both"/>
        <w:rPr>
          <w:rStyle w:val="normaltextrun"/>
          <w:rFonts w:ascii="Times New Roman" w:eastAsia="Times New Roman" w:hAnsi="Times New Roman" w:cs="Times New Roman"/>
          <w:color w:val="000000" w:themeColor="text1"/>
          <w:spacing w:val="-3"/>
          <w:sz w:val="22"/>
          <w:szCs w:val="22"/>
          <w:shd w:val="clear" w:color="auto" w:fill="FFFFFF"/>
        </w:rPr>
      </w:pPr>
      <w:r w:rsidRPr="2030048C">
        <w:rPr>
          <w:rStyle w:val="normaltextrun"/>
          <w:rFonts w:ascii="Arial" w:eastAsia="Arial" w:hAnsi="Arial" w:cs="Arial"/>
          <w:color w:val="000000" w:themeColor="text1"/>
          <w:spacing w:val="-3"/>
          <w:sz w:val="22"/>
          <w:szCs w:val="22"/>
          <w:shd w:val="clear" w:color="auto" w:fill="FFFFFF"/>
        </w:rPr>
        <w:t xml:space="preserve">to promote student independent learning and their assuming increasing responsibility for their own learning experiences </w:t>
      </w:r>
    </w:p>
    <w:p w:rsidRPr="2030048C" w:rsidP="2030048C">
      <w:pPr>
        <w:pStyle w:val="li"/>
        <w:numPr>
          <w:ilvl w:val="0"/>
          <w:numId w:val="13"/>
        </w:numPr>
        <w:pBdr>
          <w:left w:val="none" w:sz="0" w:space="7" w:color="auto"/>
        </w:pBdr>
        <w:spacing w:before="0" w:after="0" w:line="240" w:lineRule="atLeast"/>
        <w:ind w:left="720" w:right="0" w:hanging="519"/>
        <w:jc w:val="both"/>
        <w:rPr>
          <w:rStyle w:val="normaltextrun"/>
          <w:rFonts w:ascii="Times New Roman" w:eastAsia="Times New Roman" w:hAnsi="Times New Roman" w:cs="Times New Roman"/>
          <w:color w:val="000000" w:themeColor="text1"/>
          <w:spacing w:val="-3"/>
          <w:sz w:val="22"/>
          <w:szCs w:val="22"/>
          <w:shd w:val="clear" w:color="auto" w:fill="FFFFFF"/>
        </w:rPr>
      </w:pPr>
      <w:r w:rsidRPr="2030048C">
        <w:rPr>
          <w:rStyle w:val="normaltextrun"/>
          <w:rFonts w:ascii="Arial" w:eastAsia="Arial" w:hAnsi="Arial" w:cs="Arial"/>
          <w:color w:val="000000" w:themeColor="text1"/>
          <w:spacing w:val="-3"/>
          <w:sz w:val="22"/>
          <w:szCs w:val="22"/>
          <w:shd w:val="clear" w:color="auto" w:fill="FFFFFF"/>
        </w:rPr>
        <w:t>to promote a range of key skills dealing with the oral and written presentation of information and argument, the production of media products, ICT skills, generic employability skills such as team-working, and competencies in research and investigation that are relevant to both their personal development and future employment;</w:t>
      </w:r>
    </w:p>
    <w:p w:rsidRPr="2030048C" w:rsidP="2030048C">
      <w:pPr>
        <w:pStyle w:val="li"/>
        <w:numPr>
          <w:ilvl w:val="0"/>
          <w:numId w:val="13"/>
        </w:numPr>
        <w:pBdr>
          <w:left w:val="none" w:sz="0" w:space="7" w:color="auto"/>
        </w:pBdr>
        <w:spacing w:before="0" w:after="0" w:line="240" w:lineRule="atLeast"/>
        <w:ind w:left="720" w:right="0" w:hanging="519"/>
        <w:jc w:val="both"/>
        <w:rPr>
          <w:rStyle w:val="normaltextrun"/>
          <w:rFonts w:ascii="Times New Roman" w:eastAsia="Times New Roman" w:hAnsi="Times New Roman" w:cs="Times New Roman"/>
          <w:color w:val="000000" w:themeColor="text1"/>
          <w:spacing w:val="-3"/>
          <w:sz w:val="22"/>
          <w:szCs w:val="22"/>
          <w:shd w:val="clear" w:color="auto" w:fill="FFFFFF"/>
        </w:rPr>
      </w:pPr>
      <w:r w:rsidRPr="2030048C">
        <w:rPr>
          <w:rStyle w:val="normaltextrun"/>
          <w:rFonts w:ascii="Arial" w:eastAsia="Arial" w:hAnsi="Arial" w:cs="Arial"/>
          <w:color w:val="000000" w:themeColor="text1"/>
          <w:spacing w:val="-3"/>
          <w:sz w:val="22"/>
          <w:szCs w:val="22"/>
          <w:shd w:val="clear" w:color="auto" w:fill="FFFFFF"/>
        </w:rPr>
        <w:t xml:space="preserve">to develop a commitment to study and investigation that will encourage a student to embark on a process of lifelong learning </w:t>
      </w:r>
      <w:r w:rsidRPr="2030048C">
        <w:rPr>
          <w:rStyle w:val="normaltextrun"/>
          <w:rFonts w:ascii="Arial" w:eastAsia="Arial" w:hAnsi="Arial" w:cs="Arial"/>
          <w:color w:val="000000" w:themeColor="text1"/>
          <w:spacing w:val="-3"/>
          <w:sz w:val="22"/>
          <w:szCs w:val="22"/>
          <w:shd w:val="clear" w:color="auto" w:fill="FFFFFF"/>
        </w:rPr>
        <w:noBreakHyphen/>
      </w:r>
      <w:r w:rsidRPr="2030048C">
        <w:rPr>
          <w:rStyle w:val="normaltextrun"/>
          <w:rFonts w:ascii="Arial" w:eastAsia="Arial" w:hAnsi="Arial" w:cs="Arial"/>
          <w:color w:val="000000" w:themeColor="text1"/>
          <w:spacing w:val="-3"/>
          <w:sz w:val="22"/>
          <w:szCs w:val="22"/>
          <w:shd w:val="clear" w:color="auto" w:fill="FFFFFF"/>
        </w:rPr>
        <w:t xml:space="preserve"> including study of media, film and television</w:t>
      </w:r>
      <w:r w:rsidRPr="2030048C">
        <w:rPr>
          <w:rStyle w:val="normaltextrun"/>
          <w:rFonts w:ascii="Arial" w:eastAsia="Arial" w:hAnsi="Arial" w:cs="Arial"/>
          <w:color w:val="000000" w:themeColor="text1"/>
          <w:spacing w:val="-3"/>
          <w:sz w:val="22"/>
          <w:szCs w:val="22"/>
          <w:shd w:val="clear" w:color="auto" w:fill="FFFFFF"/>
        </w:rPr>
        <w:t xml:space="preserve">  </w:t>
      </w:r>
      <w:r w:rsidRPr="2030048C">
        <w:rPr>
          <w:rStyle w:val="normaltextrun"/>
          <w:rFonts w:ascii="Arial" w:eastAsia="Arial" w:hAnsi="Arial" w:cs="Arial"/>
          <w:color w:val="000000" w:themeColor="text1"/>
          <w:spacing w:val="-3"/>
          <w:sz w:val="22"/>
          <w:szCs w:val="22"/>
          <w:shd w:val="clear" w:color="auto" w:fill="FFFFFF"/>
        </w:rPr>
        <w:t xml:space="preserve">at a higher level </w:t>
      </w:r>
      <w:r w:rsidRPr="2030048C">
        <w:rPr>
          <w:rStyle w:val="normaltextrun"/>
          <w:rFonts w:ascii="Arial" w:eastAsia="Arial" w:hAnsi="Arial" w:cs="Arial"/>
          <w:color w:val="000000" w:themeColor="text1"/>
          <w:spacing w:val="-3"/>
          <w:sz w:val="22"/>
          <w:szCs w:val="22"/>
          <w:shd w:val="clear" w:color="auto" w:fill="FFFFFF"/>
        </w:rPr>
        <w:noBreakHyphen/>
      </w:r>
      <w:r w:rsidRPr="2030048C">
        <w:rPr>
          <w:rStyle w:val="normaltextrun"/>
          <w:rFonts w:ascii="Arial" w:eastAsia="Arial" w:hAnsi="Arial" w:cs="Arial"/>
          <w:color w:val="000000" w:themeColor="text1"/>
          <w:spacing w:val="-3"/>
          <w:sz w:val="22"/>
          <w:szCs w:val="22"/>
          <w:shd w:val="clear" w:color="auto" w:fill="FFFFFF"/>
        </w:rPr>
        <w:t xml:space="preserve"> for both their own personal development and to enhance their future employment potential.</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range of practical skills to the writing, pre-production, production and post-production of media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competence in those skills required in research and analysis, and in the presentation of information and argument (in visual, written and oral form and for both essays and presentations) thereby enhancing their employability skills and their capacity to operate efficiently and critically in the wider culture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their cultural creativity and competence in a range of screenwriting, pre-production and production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concepts to media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Direct and take control of their own learning experience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an advanced competence in a range of communications technologies (involving cameras, appropriate software and digital editing) concerned with recording and assembling sound and image, thereby enhancing their repertoire of useful transferable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appropriate research methodologies for the study of media, film and television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specific competence in appropriate methods and techniques for the analysis of media 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research skills for the practical investigation of media forms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relationship between practice and theory in media, film and television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apply the multidisciplinary approaches developed by the course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Prepare and write formal academic essays, engage in discussion and oral presentations,  follow proper academic protocols and show proficiency  in a range of other key study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a range of theoretical perspectives appropriate to the critical analysis and evaluation of media (including film and television)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analyse and critically evaluate a variety of concepts and theoretical perspectives and different kinds of empirical evidence related to media, film and television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a range of key transferable skills to do with ICT, oral presentations, report and essay writing that will serve to benefit future employment and lifelong learning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advanced awareness of a range of processes and methods employed in media, film and television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exercise the skills necessary for collaborative work on planning, filming and post-production, independently of continuous staff supervision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with appropriate historical and contextual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Media Skills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Media Skills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Media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MD6002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Working in the Media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MD6021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Box Set Drama: Writing For Television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Issues in contemporary media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MD6019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Special Study Art Media Management and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MD6016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Television Production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MD6017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PSRB Standards</w:t>
      </w:r>
    </w:p>
    <w:p w:rsidRPr="2030048C" w:rsidP="2030048C">
      <w:pPr>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69"/>
        <w:gridCol w:w="969"/>
        <w:gridCol w:w="9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MD6021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ListParagraph"/>
  </w:style>
  <w:style w:type="paragraph" w:customStyle="1" w:styleId="BodyText3">
    <w:name w:val="BodyText3"/>
    <w:basedOn w:val="ListParagraph"/>
    <w:rPr>
      <w:sz w:val="16"/>
      <w:szCs w:val="16"/>
    </w:rPr>
  </w:style>
  <w:style w:type="paragraph" w:customStyle="1" w:styleId="ColorfulList-Accent11">
    <w:name w:val="ColorfulList-Accent11"/>
    <w:basedOn w:val="ListParagraph"/>
    <w:pPr>
      <w:spacing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3BBF8D1-899B-472E-B1D7-BA72F153001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