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Media Content &amp; Communications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04/09/2023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Media Content &amp; Communications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UFMCO1MCO01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P300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Media Content &amp; Communications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BodyText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This degree course will offer students the opportunity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Gain in-depth knowledge and understanding of issues and debates in the media, journalism and communications industries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Grow an informed and critical awareness of the forces and dynamics (social, cultural, political, economic and technological) shaping the working environments of content creators, journalists and communications professionals today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Build up production, writing and content creation skills across digital and other platforms and realise creative potential through the development of a portfolio of media outputs.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skills in research, critical analysis and communication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Carry out sustained independent work, drawing upon a range of conceptual and methodological approaches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Take a creative and self-reflective approach to their individual and collective practice as media and communications professionals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Acquire personal and transferable skills that will enhance their readiness for graduate employment </w:t>
      </w:r>
      <w:r w:rsidRPr="2030048C">
        <w:rPr>
          <w:rStyle w:val="normaltextrun"/>
          <w:rFonts w:ascii="Arial" w:hAnsi="Arial" w:cs="Arial"/>
          <w:color w:val="000000"/>
          <w:sz w:val="22"/>
          <w:szCs w:val="22"/>
          <w:shd w:val="clear" w:color="auto" w:fill="FFFFFF"/>
        </w:rPr>
        <w:t xml:space="preserve">and advance their career in the media, journalism and communications industries.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 depth knowledge and understanding of issues and debates in the media and communication industries in a digitally networked world.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current and future developments in the production and consumption of different forms of media communications and apply that knowledge to their own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a story in a variety of formats for a range of different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critical understanding of the forces and dynamics shaping the working environments of content creators, journalists and communications professionals today.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ability to follow and assess arguments and evaluate and apply theories and interpretative frameworks for the study of media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skills in media and communications practice to cross-media forms of writing and production for different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ways in which current developments in media and communications can be understood in relation to technological and other changes.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demands of different audiences and readerships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digital skills in stills photography, video, audio, interactive and online media production at a level suitable to working as a professional in the digital and media sector.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understanding of the audio, visual and verbal conventions that content creators and communications professionals need to master.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creative and analytical thinking through the execution of research exercises, projects, and practice-based work to interrogate communication, media and journalism processes and practices.ns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Revise their work and that of others to a professional standard through the processes of drafting, editing and rewriting.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approaches and methodologies for analysing and interpreting media texts in relation to diverse professional contexts and audiences.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and evaluate their own development and research through independent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interview and use a variety of primary and secondary sources to produce a range of communications, journalistic articles and media outputs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Make appropriate use of graduate attributes to promote mindful and socially responsible industry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Each level is made up of four modules each worth 30 credit points.  Typically, a student must complete 120 credits at each level.  Full details of each module will be provided in module descriptors and student module guides on Canvas.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 comprehensive list of strands and training pathways embedded in core modules will be carefully constructed and revised to ensure that the course curriculum is coherent and current. Option modules offered at levels 5 and 6 have been selected to allow students to pursue specialist interests in content creation, identity politics, media management, or TV production. All specialist options summatively assess the same learning outcomes.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Media Content &amp; Communications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Media Content &amp; Communications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Media Foundations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MD4004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Media@Work</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MD4002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Thinking about Media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CT4000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Working with Words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CT4001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Media Content &amp; Communications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Audio and Video Storytelling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CT5000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Media Brands, Content Creation and Production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JO5012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Communications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CT5001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Media: Key theories and methods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MD5010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Media Content &amp; Communications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Year Independent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CT6000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Issues in Contemporary Media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CT6003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Media Specialism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CT6001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Practical Communications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CT6002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Media Content &amp; Communications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Studio sessions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A placements officer to give general advice on placements.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4"/>
        <w:gridCol w:w="233"/>
        <w:gridCol w:w="1"/>
        <w:gridCol w:w="580"/>
        <w:gridCol w:w="1"/>
        <w:gridCol w:w="580"/>
        <w:gridCol w:w="1"/>
        <w:gridCol w:w="614"/>
        <w:gridCol w:w="1"/>
        <w:gridCol w:w="614"/>
        <w:gridCol w:w="1"/>
        <w:gridCol w:w="614"/>
        <w:gridCol w:w="1"/>
        <w:gridCol w:w="580"/>
        <w:gridCol w:w="1"/>
        <w:gridCol w:w="580"/>
        <w:gridCol w:w="1"/>
        <w:gridCol w:w="580"/>
        <w:gridCol w:w="1"/>
        <w:gridCol w:w="580"/>
        <w:gridCol w:w="1"/>
        <w:gridCol w:w="580"/>
        <w:gridCol w:w="1"/>
        <w:gridCol w:w="580"/>
        <w:gridCol w:w="1"/>
        <w:gridCol w:w="580"/>
        <w:gridCol w:w="1"/>
        <w:gridCol w:w="5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CT4000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CT5000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CT6003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0">
    <w:name w:val="MsoBodyText0"/>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B623453-A90E-4643-B76C-EB834ECDECF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