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Media Content &amp; Communications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04/09/2023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09/05/2025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10</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Creative and Cultural Industries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Journalism,  Publishing and Media</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Media Content &amp; Communications</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Ordinary Degree</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UFMCO1MCO01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P300</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Media Content &amp; Communications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Ordinary degree</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N/A</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MsoBodyText0"/>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This degree course will offer students the opportunity to:</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Gain in-depth knowledge and understanding of issues and debates in the media, journalism and communications industries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Grow an informed and critical awareness of the forces and dynamics (social, cultural, political, economic and technological) shaping the working environments of content creators, journalists and communications professionals today</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Build up production, writing and content creation skills across digital and other platforms and realise creative potential through the development of a portfolio of media outputs.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Develop skills in research, critical analysis and communication</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Carry out sustained independent work, drawing upon a range of conceptual and methodological approaches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Take a creative and self-reflective approach to their individual and collective practice as media and communications professionals</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Acquire personal and transferable skills that will enhance their readiness for graduate employment </w:t>
      </w:r>
      <w:r w:rsidRPr="2030048C">
        <w:rPr>
          <w:rStyle w:val="normaltextrun"/>
          <w:rFonts w:ascii="Arial" w:hAnsi="Arial" w:cs="Arial"/>
          <w:color w:val="000000"/>
          <w:sz w:val="22"/>
          <w:szCs w:val="22"/>
          <w:shd w:val="clear" w:color="auto" w:fill="FFFFFF"/>
        </w:rPr>
        <w:t xml:space="preserve">and advance their career in the media, journalism and communications industries.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in depth knowledge and understanding of issues and debates in the media and communication industries in a digitally networked world.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current and future developments in the production and consumption of different forms of media communications and apply that knowledge to their own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a story in a variety of formats for a range of different platforms.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Show critical understanding of the forces and dynamics shaping the working environments of content creators, journalists and communications professionals today.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Show an ability to follow and assess arguments and evaluate and apply theories and interpretative frameworks for the study of media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skills in media and communications practice to cross-media forms of writing and production for different audiences.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the ways in which current developments in media and communications can be understood in relation to technological and other changes.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the demands of different audiences and readerships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digital skills in stills photography, video, audio, interactive and online media production at a level suitable to working as a professional in the digital and media sector.</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Display an understanding of the audio, visual and verbal conventions that content creators and communications professionals need to master.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critical, creative and analytical thinking through the execution of research exercises, projects, and practice-based work to interrogate communication, media and journalism processes and practices.ns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Revise their work and that of others to a professional standard through the processes of drafting, editing and rewriting.</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Employ approaches and methodologies for analysing and interpreting media texts in relation to diverse professional contexts and audiences.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Reflect on and evaluate their own development and research through independent work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Research, interview and use a variety of primary and secondary sources to produce a range of communications, journalistic articles and media outputs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Make appropriate use of graduate attributes to promote mindful and socially responsible industry practices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Each level is made up of four modules each worth 30 credit points.  Typically, a student must complete 120 credits at each level.  Full details of each module will be provided in module descriptors and student module guides on Canvas.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A comprehensive list of strands and training pathways embedded in core modules will be carefully constructed and revised to ensure that the course curriculum is coherent and current. Option modules offered at levels 5 and 6 have been selected to allow students to pursue specialist interests in content creation, identity politics, media management, or TV production. All specialist options summatively assess the same learning outcomes.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Media Content &amp; Communications</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Media Content &amp; Communications</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Digital Media Foundations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MD4004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Media@Work</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MD4002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TB1 &amp; TB2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Thinking about Media</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CT4000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Working with Words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CT4001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BA (Hons)</w:t>
            </w:r>
            <w:r w:rsidRPr="2030048C">
              <w:rPr>
                <w:rFonts w:ascii="Arial" w:eastAsia="Arial" w:hAnsi="Arial" w:cs="Arial"/>
                <w:b/>
                <w:bCs/>
                <w:lang w:val="en-GB"/>
              </w:rPr>
              <w:t xml:space="preserve"> </w:t>
            </w:r>
            <w:r w:rsidRPr="2030048C">
              <w:rPr>
                <w:rFonts w:ascii="Arial" w:eastAsia="Arial" w:hAnsi="Arial" w:cs="Arial"/>
                <w:b/>
                <w:bCs/>
                <w:lang w:val="en-GB"/>
              </w:rPr>
              <w:t>Media Content &amp; Communications</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Audio and Video Storytelling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CT5000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Media Brands, Content Creation and Production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JO5012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Practical Communications 1</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CT5001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Researching Media: Key theories and methods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MD5010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 &amp; 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Media Content &amp; Communications</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Final Year Independent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CT6000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Issues in Contemporary Media Environments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CT6003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Media Specialism</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CT6001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Practical Communications 2</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CT6002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Media Content &amp; Communications with Professional Placement</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Studio sessions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 xml:space="preserve">A placements officer to give general advice on placements.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ind w:left="720"/>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3D0EBCB8" w:rsidRPr="2030048C" w:rsidP="2030048C">
      <w:pPr>
        <w:pStyle w:val="Heading2"/>
        <w:ind w:left="570"/>
        <w:outlineLvl w:val="1"/>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14"/>
        <w:gridCol w:w="233"/>
        <w:gridCol w:w="1"/>
        <w:gridCol w:w="580"/>
        <w:gridCol w:w="1"/>
        <w:gridCol w:w="580"/>
        <w:gridCol w:w="1"/>
        <w:gridCol w:w="614"/>
        <w:gridCol w:w="1"/>
        <w:gridCol w:w="614"/>
        <w:gridCol w:w="1"/>
        <w:gridCol w:w="614"/>
        <w:gridCol w:w="1"/>
        <w:gridCol w:w="580"/>
        <w:gridCol w:w="1"/>
        <w:gridCol w:w="580"/>
        <w:gridCol w:w="1"/>
        <w:gridCol w:w="580"/>
        <w:gridCol w:w="1"/>
        <w:gridCol w:w="580"/>
        <w:gridCol w:w="1"/>
        <w:gridCol w:w="580"/>
        <w:gridCol w:w="1"/>
        <w:gridCol w:w="580"/>
        <w:gridCol w:w="1"/>
        <w:gridCol w:w="580"/>
        <w:gridCol w:w="1"/>
        <w:gridCol w:w="588"/>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10"/>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CT4000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CT4001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MD4002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MD4004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MD5010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JO5012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CT5000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CT5001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CT6000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CT6001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CT6002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CT6003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MsoBodyText0">
    <w:name w:val="MsoBodyText0"/>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CB623453-A90E-4643-B76C-EB834ECDECF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