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BA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Game Design &amp; Production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03/09/2024</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15/01/2026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School of Art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Arts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Film and Photography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Boomsatsuma Education Ltd</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BA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Game Design &amp; Production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Game Design &amp; Production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Game Design &amp; Production</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BA Game Design &amp; Production</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UFGDP1GDP21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Boomsatsuma Education Ltd</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Boomsatsuma Education Ltd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Boomsatsuma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Boomsatsuma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bidi w:val="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BA (Hons) Game Design and Production is a careers-led, practical exploration of games and their capacity to entertain, inform and inspire. It covers the creativity, technique and sensitivities needed to make well-crafted games that are fun to play. One focus is the design of games. Key topics here include level design, narrative design, visual design and sound design, as well as the design of gameplay, game mechanics and player experience. Alongside design is a focus on the production of games. This addresses the combination of personal, professional and software skills needed to build high quality game products. Dedicated modules on game engine development support the production strand, as do game-making projects that engage commercial production strategies. Within these projects you have opportunities to pursue specialist disciplines like world building, interaction design, game programming and project leadership.</w:t>
      </w:r>
    </w:p>
    <w:p w:rsidRPr="2030048C" w:rsidP="2030048C">
      <w:pPr>
        <w:pStyle w:val="ListParagraph"/>
        <w:bidi w:val="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Level 4 is about the ingredients of games. You will play games, critique games, design games, and make games - experimenting practically with concepts such as rules, objectives, mechanics, balance, flow, story, play and fun. This foundation leads to an exploration of the application of games at Level 5. Through theory and game production projects you will learn how to make games with purposes beyond entertainment, games for immersive technologies (VR, XR), and methods of evaluating games in partnership with target audiences. Level 6 is about the future of games - that is, emerging approaches to gameplay and you as the next generation of game talent. You will deep-dive the business of games, which includes industry roles and trends, how to present your games (and yourself) effectively to potential employers and clients, and how to build a career in the games industry. This is complemented by an opportunity to develop a piece of experimental game design, followed by a ‘capstone project’ where you develop a more substantial, polished game output that completes your graduate portfolio.</w:t>
      </w:r>
    </w:p>
    <w:p w:rsidRPr="2030048C" w:rsidP="2030048C">
      <w:pPr>
        <w:pStyle w:val="ListParagraph"/>
        <w:bidi w:val="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themeColor="text1"/>
          <w:sz w:val="24"/>
          <w:szCs w:val="24"/>
          <w:shd w:val="clear" w:color="auto" w:fill="FFFFFF"/>
        </w:rPr>
        <w:t>Course Aims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Knowledge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you opportunities to engage in intellectual enquiry through research and reflection on the underlying concepts and contexts of game design.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Practice</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help you develop the broad creative, technical, and evaluative skills needed to take a game from concept to publication.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 xml:space="preserve">Experimentation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stimulate your imaginative thinking and encourage you to pursue an individual creative voice through experimentation and risk-taking.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Adaptability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help you become a self-motivated practitioner that can learn new skills independently and adapt to the ever-changing landscape of the Creative Industries.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Communication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help you become a competent communicator that can express and promote their practice to a range of audiences and in varying contexts.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Co-Creation</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provide you with opportunities to develop the communicational and organisational skills, temperament, and diplomacy needed to collaborate with others effectively.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Environment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establish an inclusive and enjoyable learning environment that supports participation, creative exploration, and peer-to-peer learning.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Currency</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ensure that course content aligns with contemporary and professional game design patterns, production workflows, and technical solutions.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u w:val="single"/>
          <w:shd w:val="clear" w:color="auto" w:fill="FFFFFF"/>
        </w:rPr>
        <w:t>Future Skills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To deliver insight into the games industry and related Creative Industries career paths, engage core employability skills, and motivate you to take responsibility for your professional development.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Shape game concepts that are informed by conceptual understanding of the function and interplay of narrative, art, mechanics, and interactivity.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apply methods of creative problem solving and design thinking to address challenges both within and outside of the context of game design and production.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imaginative outcomes in the context of game design and production practice, and apply methods of experimentation and risk-taking to advance the pursuit of an individual creative voice.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Utilise conceptual understanding of established and emergent game forms, genres, and design patterns to develop game outputs that promote player engagement and fun.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Take responsibility for your own learning and development using reflection and feedback to analyse personal capacities and plan actions with resilience and criticality.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workflows used by professionals in the games industry to generate, resolve, and implement game concepts, features, and content.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systematic understanding of methods used by game professionals to understand player motivations, expectations, and behaviours.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and apply methods of research and critical analysis in game design and production to acquire, interpret, and communicate knowledge.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and apply game design and production tools and software techniques as required to plan and realise a creative concept.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evaluate the characteristics and expectations of the games industry and the professional skills needed to pursue opportunities within it.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awareness of personal responsibility and professional practice when navigating the legal, ethical, and regulatory dimensions of game design and production.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 systematic approach to technical troubleshooting, testing, and quality assurance that reflects methods used in the games industry.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can progress from one level to the next with 30 credits trailing but they must pass the failed credits before progressing to the next level.</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VLE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Learning outcomes for Navigate are located in the module, Crafting Games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Learning outcomes for Explore are located in the module, 3D Design and Immersive Play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Learning outcomes for Apply are located in the module, The Games Industry</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BA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Game Design &amp; Production</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Game Design &amp; Production</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Crafting Games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BF4009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Game Art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BF4018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Game Engines I</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BF4012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Level Design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BF4011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bidi w:val="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BA (Hons)</w:t>
            </w:r>
            <w:r w:rsidRPr="2030048C">
              <w:rPr>
                <w:rFonts w:ascii="Arial" w:eastAsia="Arial" w:hAnsi="Arial" w:cs="Arial"/>
                <w:b/>
                <w:bCs/>
                <w:lang w:val="en-GB"/>
              </w:rPr>
              <w:t xml:space="preserve"> </w:t>
            </w:r>
            <w:r w:rsidRPr="2030048C">
              <w:rPr>
                <w:rFonts w:ascii="Arial" w:eastAsia="Arial" w:hAnsi="Arial" w:cs="Arial"/>
                <w:b/>
                <w:bCs/>
                <w:lang w:val="en-GB"/>
              </w:rPr>
              <w:t>Game Design &amp; Production</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3D Design and Immersive Play</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BF5001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Game Engines II</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BF5002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Games for Change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BF5004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Games for Learning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BF5003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bidi w:val="0"/>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BA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Game Design &amp; Production</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Capstone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BF6002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Imaginarium</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BF6001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The Games Industry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BF6003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w:t>
      </w:r>
    </w:p>
    <w:p w:rsidR="66934EB1" w:rsidP="2030048C" w14:textId="25B67DE5">
      <w:pPr>
        <w:rPr>
          <w:rFonts w:ascii="Arial" w:eastAsia="Arial" w:hAnsi="Arial" w:cs="Arial"/>
          <w:color w:val="000000" w:themeColor="text1"/>
          <w:sz w:val="24"/>
          <w:szCs w:val="24"/>
          <w:lang w:val="en-GB"/>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(including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Masterclasses</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module’s Google Classroom space as well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external client projects and work-based learning.</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Google Classroom – Boomsatsuma’s Virtual Learning Environment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and accommodation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support and wellbeing services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w:t>
      </w:r>
    </w:p>
    <w:p w:rsidRPr="2030048C" w:rsidP="2030048C">
      <w:pPr>
        <w:numPr>
          <w:ilvl w:val="0"/>
          <w:numId w:val="17"/>
        </w:numPr>
        <w:ind w:left="720" w:hanging="360"/>
        <w:jc w:val="left"/>
        <w:rPr>
          <w:rFonts w:ascii="Arial" w:eastAsia="Arial" w:hAnsi="Arial" w:cs="Arial"/>
          <w:sz w:val="24"/>
          <w:szCs w:val="24"/>
        </w:rPr>
      </w:pPr>
      <w:hyperlink r:id="rId11" w:history="1">
        <w:r w:rsidRPr="2030048C">
          <w:rPr>
            <w:rFonts w:ascii="Arial" w:eastAsia="Arial" w:hAnsi="Arial" w:cs="Arial"/>
            <w:sz w:val="24"/>
            <w:szCs w:val="24"/>
          </w:rPr>
          <w:t>QAA Subject Benchmark Statement for Art and Design (2019)</w:t>
        </w:r>
      </w:hyperlink>
    </w:p>
    <w:p w:rsidRPr="2030048C" w:rsidP="2030048C">
      <w:pPr>
        <w:numPr>
          <w:ilvl w:val="0"/>
          <w:numId w:val="17"/>
        </w:numPr>
        <w:ind w:left="720" w:hanging="360"/>
        <w:jc w:val="left"/>
        <w:rPr>
          <w:rFonts w:ascii="Arial" w:eastAsia="Arial" w:hAnsi="Arial" w:cs="Arial"/>
          <w:sz w:val="24"/>
          <w:szCs w:val="24"/>
        </w:rPr>
      </w:pPr>
      <w:hyperlink r:id="rId12" w:history="1">
        <w:r w:rsidRPr="2030048C">
          <w:rPr>
            <w:rFonts w:ascii="Arial" w:eastAsia="Arial" w:hAnsi="Arial" w:cs="Arial"/>
            <w:sz w:val="24"/>
            <w:szCs w:val="24"/>
          </w:rPr>
          <w:t>QAA Subject Benchmark Statement for Computing (2022)</w:t>
        </w:r>
      </w:hyperlink>
    </w:p>
    <w:p w:rsidRPr="2030048C" w:rsidP="2030048C">
      <w:pPr>
        <w:numPr>
          <w:ilvl w:val="0"/>
          <w:numId w:val="17"/>
        </w:numPr>
        <w:ind w:left="720" w:hanging="360"/>
        <w:jc w:val="left"/>
        <w:rPr>
          <w:rFonts w:ascii="Arial" w:eastAsia="Arial" w:hAnsi="Arial" w:cs="Arial"/>
          <w:sz w:val="24"/>
          <w:szCs w:val="24"/>
        </w:rPr>
      </w:pPr>
      <w:hyperlink r:id="rId13" w:history="1">
        <w:r w:rsidRPr="2030048C">
          <w:rPr>
            <w:rFonts w:ascii="Arial" w:eastAsia="Arial" w:hAnsi="Arial" w:cs="Arial"/>
            <w:sz w:val="24"/>
            <w:szCs w:val="24"/>
          </w:rPr>
          <w:t>UK Quality Code for Higher Education, QAA (2024)</w:t>
        </w:r>
      </w:hyperlink>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297"/>
        <w:gridCol w:w="272"/>
        <w:gridCol w:w="676"/>
        <w:gridCol w:w="676"/>
        <w:gridCol w:w="676"/>
        <w:gridCol w:w="676"/>
        <w:gridCol w:w="2"/>
        <w:gridCol w:w="674"/>
        <w:gridCol w:w="676"/>
        <w:gridCol w:w="676"/>
        <w:gridCol w:w="676"/>
        <w:gridCol w:w="4"/>
        <w:gridCol w:w="672"/>
        <w:gridCol w:w="676"/>
        <w:gridCol w:w="68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3"/>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BF4009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BF4011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BF4012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BF4018</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BF5001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BF5004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BF5003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BF5002</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BF6002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BF6003</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bidi w:val="0"/>
        <w:rPr>
          <w:rFonts w:ascii="Arial" w:eastAsia="Arial" w:hAnsi="Arial" w:cs="Arial"/>
          <w:sz w:val="24"/>
          <w:szCs w:val="24"/>
        </w:rPr>
      </w:pPr>
      <w:r w:rsidRPr="2030048C">
        <w:rPr>
          <w:rFonts w:ascii="Arial" w:eastAsia="Arial" w:hAnsi="Arial" w:cs="Arial"/>
          <w:sz w:val="24"/>
          <w:szCs w:val="24"/>
        </w:rPr>
        <w:t>Intakes start in September.</w:t>
      </w:r>
    </w:p>
    <w:p w:rsidRPr="2030048C" w:rsidP="2030048C">
      <w:pPr>
        <w:bidi w:val="0"/>
        <w:rPr>
          <w:rFonts w:ascii="Arial" w:eastAsia="Arial" w:hAnsi="Arial" w:cs="Arial"/>
          <w:sz w:val="24"/>
          <w:szCs w:val="24"/>
        </w:rPr>
      </w:pPr>
      <w:r w:rsidRPr="2030048C">
        <w:rPr>
          <w:rFonts w:ascii="Arial" w:eastAsia="Arial" w:hAnsi="Arial" w:cs="Arial"/>
          <w:sz w:val="24"/>
          <w:szCs w:val="24"/>
        </w:rPr>
        <w:t>This is validated provision.</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aa.ac.uk/the-quality-code/2024"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qaa.ac.uk/docs/qaa/sbs/sbs-computing-22.pdf?sfvrsn=ebb3dc81_4" TargetMode="Externa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docs/qaa/subject-benchmark-statements/sbs-art-and-design-17.pdf?sfvrsn=71eef781_22"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1033F3DD-D3A1-419E-93A5-6EBE53999BB7}"/>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