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BA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Game Creation</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21/01/2026</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28/01/2026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4</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School of Art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normaltextrun"/>
                <w:rFonts w:ascii="Arial" w:hAnsi="Arial" w:cs="Arial"/>
                <w:b w:val="0"/>
                <w:bCs w:val="0"/>
                <w:color w:val="000000" w:themeColor="text1" w:themeShade="FF" w:themeTint="FF"/>
                <w:sz w:val="24"/>
                <w:szCs w:val="24"/>
                <w:lang w:val="en-GB"/>
              </w:rPr>
              <w:t>n/a</w:t>
            </w: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Creative and Cultural Industries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Creative Industries</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BA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Game Creation</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Game Creation</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BA Game Creation</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 HE Game Creation</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UFGCR1GCR20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W282</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Knights Park</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792E11A3" w:rsidP="158602C4" w14:paraId="155FC85F"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Champion transdisciplinary learning by enabling students to explore and integrate creative, design driven, narrative and systems thinking with technical and audience driven approaches, thinking through game play and real-time experiences.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confident and collaborative creators who can contribute to diverse, transdisciplinary teams to investigate, instantiate, and iterate working across creative technologies, game development, immersive media, and user experience.</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Empower critical and ethical thinking, equipping students to interrogate the social, cultural, environmental, and economic implications of games and interactive systems.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Build creative adaptability and technical fluency by introducing a wide range of tools, workflows, and design methodologies, while supporting students in selecting and deepening their own understanding of chosen specialisms.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Cultivate inclusive and accessible design thinking, ensuring students can design for a wide spectrum of player experiences, needs, and contexts, informed by EDI principles.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Transform students’ perceptions of learning through a holistic and experimental approach that mirrors industry needs and encourages critical engagement with future facing game related projects.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Nurture entrepreneurial, innovative mindsets that enable graduates to navigate change, anticipate industry evolution, and create meaningful work across broad career pathways.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Encourage lifelong learning and sustainable creative practice, supporting students to become adaptable professionals who can continue developing their knowledge, skills, and values beyond graduation.</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the transdisciplinary nature of game creation, integrating perspectives from narrative, design, code, sound, reaction and interaction.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Generate and evaluate ideas that respond to complex, real-world design challenges through iteration, critique, and reflection.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Plan, scope, and manage the production of original game projects using appropriate tools, methodologies, and time/resource management strategies.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games as cultural, social, and technological artefacts that shape and reflect contemporary and emerging digital practices.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and reframe briefs, problems, and play experiences using critical, speculative, and systems-thinking approaches.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Prototype, test, and refine interactive systems using contemporary game engines and related digital technologies.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principles of inclusive, ethical, and sustainable design relevant to games and creative technology fields.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Communicate creative processes and decisions effectively to technical and non-technical audiences in collaborative contexts.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Collaborate across disciplines and roles to build accessible, engaging, and functional game experiences.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examine the assumptions, constraints, and implications of industry-standard workflows, collaborative practices, and production pipelines in games and real-time simulation contexts.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Reflect on and adapt personal and group practices to support creative risk-taking, resilience, and lifelong learning.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Produce creative artefacts that integrate storytelling, design, and technology to meet defined aesthetic and experiential goals.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Students can progress from one level to the next with 30 credits trailing but they must pass the failed credits before progressing to the next level.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ind w:left="105" w:right="375"/>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requirements are embedded as follows: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Navigate is embedded into Studio Lab Collaborative Practice.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Explore is embedded into Transdisciplinary Studio: Real World Projects.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Apply module is delivered at Level 6.</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BA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Game Creation</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Game Creation</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Creative Tools and Pipelines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GX4010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Living &amp; Breathing Worlds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GX4020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Studio Lab Collaborative Practice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GX4030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Thinking Through Play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GX4040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course at this point who have successfully completed 120 credits at level 4 or above are eligible for the award of Certificate of Higher Education.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BA (Hons)</w:t>
            </w:r>
            <w:r w:rsidRPr="2030048C">
              <w:rPr>
                <w:rFonts w:ascii="Arial" w:eastAsia="Arial" w:hAnsi="Arial" w:cs="Arial"/>
                <w:b/>
                <w:bCs/>
                <w:lang w:val="en-GB"/>
              </w:rPr>
              <w:t xml:space="preserve"> </w:t>
            </w:r>
            <w:r w:rsidRPr="2030048C">
              <w:rPr>
                <w:rFonts w:ascii="Arial" w:eastAsia="Arial" w:hAnsi="Arial" w:cs="Arial"/>
                <w:b/>
                <w:bCs/>
                <w:lang w:val="en-GB"/>
              </w:rPr>
              <w:t>Game Creation</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AI &amp; Interaction: Designing Responsive Systems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GX5040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Critical Futures: Ethics, Inclusion, &amp; Sustainability in Game Creation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GX5010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Narrative Systems and Experience Design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GX5020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Transdisciplinary Studio: Real-World Projects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GX5030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at this point who have successfully completed 120 credits at level 5 or above are eligible for the award of Diploma of Higher Education.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Game Creation</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Capstone: Game Creation Final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GX6040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Entrepreneurship, IP &amp; the Games Industry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GX6010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Experimental Practice: Games Beyond Entertainment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GX6020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Pathways: Games, Careers &amp; Creative Impact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GX6030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(including Learning Design Principles and Inclusive Curriculum); and Future Skills.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Laboratory Sessions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Lectures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Seminars </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Tutorials </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Workshops </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Placements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Pr="2030048C" w:rsidP="2030048C">
      <w:pPr>
        <w:rPr>
          <w:rFonts w:ascii="Arial" w:eastAsia="Arial" w:hAnsi="Arial" w:cs="Arial"/>
          <w:sz w:val="24"/>
          <w:szCs w:val="24"/>
        </w:rPr>
      </w:pP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w:t>
      </w:r>
    </w:p>
    <w:p w:rsidR="3D0EBCB8" w:rsidRPr="2030048C" w:rsidP="2030048C">
      <w:pPr>
        <w:rPr>
          <w:rFonts w:ascii="Arial" w:eastAsia="Arial" w:hAnsi="Arial" w:cs="Arial"/>
          <w:sz w:val="24"/>
          <w:szCs w:val="24"/>
        </w:rPr>
      </w:pPr>
      <w:r w:rsidRPr="2030048C">
        <w:rPr>
          <w:rFonts w:ascii="Arial" w:eastAsia="Arial" w:hAnsi="Arial" w:cs="Arial"/>
          <w:sz w:val="24"/>
          <w:szCs w:val="24"/>
        </w:rPr>
        <w:t>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Due to the transdisciplinary approach to the curriculum design and implementation of this course, a range of QAA influences impact the benchmarks used primarily: </w:t>
      </w:r>
    </w:p>
    <w:p w:rsidRPr="2030048C" w:rsidP="2030048C">
      <w:pPr>
        <w:rPr>
          <w:rFonts w:ascii="Arial" w:eastAsia="Arial" w:hAnsi="Arial" w:cs="Arial"/>
          <w:sz w:val="24"/>
          <w:szCs w:val="24"/>
        </w:rPr>
      </w:pPr>
      <w:r w:rsidRPr="2030048C">
        <w:rPr>
          <w:rFonts w:ascii="Arial" w:eastAsia="Arial" w:hAnsi="Arial" w:cs="Arial"/>
          <w:sz w:val="24"/>
          <w:szCs w:val="24"/>
        </w:rPr>
        <w:t>Art &amp; Design </w:t>
      </w:r>
      <w:hyperlink r:id="rId11" w:tgtFrame="_blank" w:history="1">
        <w:r w:rsidRPr="2030048C">
          <w:rPr>
            <w:rFonts w:ascii="Arial" w:eastAsia="Arial" w:hAnsi="Arial" w:cs="Arial"/>
            <w:sz w:val="24"/>
            <w:szCs w:val="24"/>
          </w:rPr>
          <w:t>https://www.qaa.ac.uk/docs/qaa/subject-benchmark-statements/sbs-art-and-design-17.pdf?sfvrsn=71eef781_22</w:t>
        </w:r>
      </w:hyperlink>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Computing </w:t>
      </w:r>
      <w:r w:rsidRPr="2030048C">
        <w:rPr>
          <w:rFonts w:ascii="Arial" w:eastAsia="Arial" w:hAnsi="Arial" w:cs="Arial"/>
          <w:sz w:val="24"/>
          <w:szCs w:val="24"/>
        </w:rPr>
        <w:br/>
      </w:r>
      <w:hyperlink r:id="rId12" w:tgtFrame="_blank" w:history="1">
        <w:r w:rsidRPr="2030048C">
          <w:rPr>
            <w:rFonts w:ascii="Arial" w:eastAsia="Arial" w:hAnsi="Arial" w:cs="Arial"/>
            <w:sz w:val="24"/>
            <w:szCs w:val="24"/>
          </w:rPr>
          <w:t>https://www.qaa.ac.uk/docs/qaa/sbs/sbs-computing-22.pdf?sfvrsn=ebb3dc81_4</w:t>
        </w:r>
      </w:hyperlink>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Elements of these two benchmarks are also informed by minor aspects of the following: </w:t>
      </w:r>
    </w:p>
    <w:p w:rsidRPr="2030048C" w:rsidP="2030048C">
      <w:pPr>
        <w:rPr>
          <w:rFonts w:ascii="Arial" w:eastAsia="Arial" w:hAnsi="Arial" w:cs="Arial"/>
          <w:sz w:val="24"/>
          <w:szCs w:val="24"/>
        </w:rPr>
      </w:pPr>
      <w:r w:rsidRPr="2030048C">
        <w:rPr>
          <w:rFonts w:ascii="Arial" w:eastAsia="Arial" w:hAnsi="Arial" w:cs="Arial"/>
          <w:sz w:val="24"/>
          <w:szCs w:val="24"/>
        </w:rPr>
        <w:t>Architecture </w:t>
      </w:r>
      <w:r w:rsidRPr="2030048C">
        <w:rPr>
          <w:rFonts w:ascii="Arial" w:eastAsia="Arial" w:hAnsi="Arial" w:cs="Arial"/>
          <w:sz w:val="24"/>
          <w:szCs w:val="24"/>
        </w:rPr>
        <w:br/>
      </w:r>
      <w:hyperlink r:id="rId13" w:tgtFrame="_blank" w:history="1">
        <w:r w:rsidRPr="2030048C">
          <w:rPr>
            <w:rFonts w:ascii="Arial" w:eastAsia="Arial" w:hAnsi="Arial" w:cs="Arial"/>
            <w:sz w:val="24"/>
            <w:szCs w:val="24"/>
          </w:rPr>
          <w:t>https://www.qaa.ac.uk/docs/qaa/subject-benchmark-statements/subject-benchmark-statement-architecture.pdf?sfvrsn=9fa2cc81_12</w:t>
        </w:r>
      </w:hyperlink>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Creative Writing </w:t>
      </w:r>
    </w:p>
    <w:p w:rsidRPr="2030048C" w:rsidP="2030048C">
      <w:pPr>
        <w:rPr>
          <w:rFonts w:ascii="Arial" w:eastAsia="Arial" w:hAnsi="Arial" w:cs="Arial"/>
          <w:sz w:val="24"/>
          <w:szCs w:val="24"/>
        </w:rPr>
      </w:pPr>
      <w:hyperlink r:id="rId14" w:tgtFrame="_blank" w:history="1">
        <w:r w:rsidRPr="2030048C">
          <w:rPr>
            <w:rFonts w:ascii="Arial" w:eastAsia="Arial" w:hAnsi="Arial" w:cs="Arial"/>
            <w:sz w:val="24"/>
            <w:szCs w:val="24"/>
          </w:rPr>
          <w:t>https://www.qaa.ac.uk/the-quality-code/subject-benchmark-statements/subject-benchmark-statement-creative-writing</w:t>
        </w:r>
      </w:hyperlink>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Dance, Drama, and Performance </w:t>
      </w:r>
      <w:r w:rsidRPr="2030048C">
        <w:rPr>
          <w:rFonts w:ascii="Arial" w:eastAsia="Arial" w:hAnsi="Arial" w:cs="Arial"/>
          <w:sz w:val="24"/>
          <w:szCs w:val="24"/>
        </w:rPr>
        <w:br/>
      </w:r>
      <w:hyperlink r:id="rId15" w:tgtFrame="_blank" w:history="1">
        <w:r w:rsidRPr="2030048C">
          <w:rPr>
            <w:rFonts w:ascii="Arial" w:eastAsia="Arial" w:hAnsi="Arial" w:cs="Arial"/>
            <w:sz w:val="24"/>
            <w:szCs w:val="24"/>
          </w:rPr>
          <w:t>https://www.qaa.ac.uk/docs/qaa/sbs/sbs-dance-drama-and-performance-24.pdf?sfvrsn=201b481_4</w:t>
        </w:r>
      </w:hyperlink>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As well, the following industry organisations related to games inform the course: </w:t>
      </w:r>
      <w:r w:rsidRPr="2030048C">
        <w:rPr>
          <w:rFonts w:ascii="Arial" w:eastAsia="Arial" w:hAnsi="Arial" w:cs="Arial"/>
          <w:sz w:val="24"/>
          <w:szCs w:val="24"/>
        </w:rPr>
        <w:br/>
      </w:r>
      <w:r w:rsidRPr="2030048C">
        <w:rPr>
          <w:rFonts w:ascii="Arial" w:eastAsia="Arial" w:hAnsi="Arial" w:cs="Arial"/>
          <w:sz w:val="24"/>
          <w:szCs w:val="24"/>
        </w:rPr>
        <w:t>Ukie </w:t>
      </w:r>
      <w:r w:rsidRPr="2030048C">
        <w:rPr>
          <w:rFonts w:ascii="Arial" w:eastAsia="Arial" w:hAnsi="Arial" w:cs="Arial"/>
          <w:sz w:val="24"/>
          <w:szCs w:val="24"/>
        </w:rPr>
        <w:br/>
      </w:r>
      <w:r w:rsidRPr="2030048C">
        <w:rPr>
          <w:rFonts w:ascii="Arial" w:eastAsia="Arial" w:hAnsi="Arial" w:cs="Arial"/>
          <w:sz w:val="24"/>
          <w:szCs w:val="24"/>
        </w:rPr>
        <w:t>https://ukie.org.uk/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TIGA </w:t>
      </w:r>
    </w:p>
    <w:p w:rsidRPr="2030048C" w:rsidP="2030048C">
      <w:pPr>
        <w:rPr>
          <w:rFonts w:ascii="Arial" w:eastAsia="Arial" w:hAnsi="Arial" w:cs="Arial"/>
          <w:sz w:val="24"/>
          <w:szCs w:val="24"/>
        </w:rPr>
      </w:pPr>
      <w:hyperlink r:id="rId16" w:tgtFrame="_blank" w:history="1">
        <w:r w:rsidRPr="2030048C">
          <w:rPr>
            <w:rFonts w:ascii="Arial" w:eastAsia="Arial" w:hAnsi="Arial" w:cs="Arial"/>
            <w:sz w:val="24"/>
            <w:szCs w:val="24"/>
          </w:rPr>
          <w:t>https://tiga.org/</w:t>
        </w:r>
      </w:hyperlink>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IGDA </w:t>
      </w:r>
    </w:p>
    <w:p w:rsidRPr="2030048C" w:rsidP="2030048C">
      <w:pPr>
        <w:rPr>
          <w:rFonts w:ascii="Arial" w:eastAsia="Arial" w:hAnsi="Arial" w:cs="Arial"/>
          <w:sz w:val="24"/>
          <w:szCs w:val="24"/>
        </w:rPr>
      </w:pPr>
      <w:hyperlink r:id="rId17" w:tgtFrame="_blank" w:history="1">
        <w:r w:rsidRPr="2030048C">
          <w:rPr>
            <w:rFonts w:ascii="Arial" w:eastAsia="Arial" w:hAnsi="Arial" w:cs="Arial"/>
            <w:sz w:val="24"/>
            <w:szCs w:val="24"/>
          </w:rPr>
          <w:t>https://igda.org/</w:t>
        </w:r>
      </w:hyperlink>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As well as major academic conferences including: </w:t>
      </w:r>
    </w:p>
    <w:p w:rsidRPr="2030048C" w:rsidP="2030048C">
      <w:pPr>
        <w:rPr>
          <w:rFonts w:ascii="Arial" w:eastAsia="Arial" w:hAnsi="Arial" w:cs="Arial"/>
          <w:sz w:val="24"/>
          <w:szCs w:val="24"/>
        </w:rPr>
      </w:pPr>
      <w:r w:rsidRPr="2030048C">
        <w:rPr>
          <w:rFonts w:ascii="Arial" w:eastAsia="Arial" w:hAnsi="Arial" w:cs="Arial"/>
          <w:sz w:val="24"/>
          <w:szCs w:val="24"/>
        </w:rPr>
        <w:t>CHI Play </w:t>
      </w:r>
    </w:p>
    <w:p w:rsidRPr="2030048C" w:rsidP="2030048C">
      <w:pPr>
        <w:rPr>
          <w:rFonts w:ascii="Arial" w:eastAsia="Arial" w:hAnsi="Arial" w:cs="Arial"/>
          <w:sz w:val="24"/>
          <w:szCs w:val="24"/>
        </w:rPr>
      </w:pPr>
      <w:hyperlink r:id="rId18" w:tgtFrame="_blank" w:history="1">
        <w:r w:rsidRPr="2030048C">
          <w:rPr>
            <w:rFonts w:ascii="Arial" w:eastAsia="Arial" w:hAnsi="Arial" w:cs="Arial"/>
            <w:sz w:val="24"/>
            <w:szCs w:val="24"/>
          </w:rPr>
          <w:t>https://chiplay.acm.org/2026/</w:t>
        </w:r>
      </w:hyperlink>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SIGGRAPH </w:t>
      </w:r>
    </w:p>
    <w:p w:rsidRPr="2030048C" w:rsidP="2030048C">
      <w:pPr>
        <w:rPr>
          <w:rFonts w:ascii="Arial" w:eastAsia="Arial" w:hAnsi="Arial" w:cs="Arial"/>
          <w:sz w:val="24"/>
          <w:szCs w:val="24"/>
        </w:rPr>
      </w:pPr>
      <w:hyperlink r:id="rId19" w:tgtFrame="_blank" w:history="1">
        <w:r w:rsidRPr="2030048C">
          <w:rPr>
            <w:rFonts w:ascii="Arial" w:eastAsia="Arial" w:hAnsi="Arial" w:cs="Arial"/>
            <w:sz w:val="24"/>
            <w:szCs w:val="24"/>
          </w:rPr>
          <w:t>https://www.siggraph.org/</w:t>
        </w:r>
      </w:hyperlink>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lang w:val="en-GB" w:eastAsia="en-GB"/>
        </w:rPr>
      </w:pPr>
      <w:r w:rsidRPr="2030048C">
        <w:rPr>
          <w:rFonts w:ascii="Arial" w:eastAsia="Arial" w:hAnsi="Arial" w:cs="Arial"/>
          <w:sz w:val="24"/>
          <w:szCs w:val="24"/>
          <w:lang w:val="en-GB" w:eastAsia="en-GB"/>
        </w:rPr>
        <w:t>DiGRA </w:t>
      </w:r>
      <w:r w:rsidRPr="2030048C">
        <w:rPr>
          <w:rFonts w:ascii="Arial" w:eastAsia="Arial" w:hAnsi="Arial" w:cs="Arial"/>
          <w:sz w:val="24"/>
          <w:szCs w:val="24"/>
          <w:lang w:val="en-GB" w:eastAsia="en-GB"/>
        </w:rPr>
        <w:br/>
      </w:r>
      <w:hyperlink r:id="rId20" w:tgtFrame="_blank" w:history="1">
        <w:r w:rsidRPr="2030048C">
          <w:rPr>
            <w:rFonts w:ascii="Arial" w:eastAsia="Arial" w:hAnsi="Arial" w:cs="Arial"/>
            <w:sz w:val="24"/>
            <w:szCs w:val="24"/>
            <w:lang w:val="en-GB" w:eastAsia="en-GB"/>
          </w:rPr>
          <w:t>https://digra.org/</w:t>
        </w:r>
      </w:hyperlink>
      <w:r w:rsidRPr="2030048C">
        <w:rPr>
          <w:rFonts w:ascii="Arial" w:eastAsia="Arial" w:hAnsi="Arial" w:cs="Arial"/>
          <w:sz w:val="24"/>
          <w:szCs w:val="24"/>
          <w:lang w:val="en-GB" w:eastAsia="en-GB"/>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102"/>
        <w:gridCol w:w="230"/>
        <w:gridCol w:w="1"/>
        <w:gridCol w:w="590"/>
        <w:gridCol w:w="1"/>
        <w:gridCol w:w="590"/>
        <w:gridCol w:w="1"/>
        <w:gridCol w:w="590"/>
        <w:gridCol w:w="1"/>
        <w:gridCol w:w="590"/>
        <w:gridCol w:w="1"/>
        <w:gridCol w:w="590"/>
        <w:gridCol w:w="1"/>
        <w:gridCol w:w="590"/>
        <w:gridCol w:w="1"/>
        <w:gridCol w:w="590"/>
        <w:gridCol w:w="1"/>
        <w:gridCol w:w="590"/>
        <w:gridCol w:w="1"/>
        <w:gridCol w:w="1"/>
        <w:gridCol w:w="589"/>
        <w:gridCol w:w="1"/>
        <w:gridCol w:w="590"/>
        <w:gridCol w:w="1"/>
        <w:gridCol w:w="590"/>
        <w:gridCol w:w="1"/>
        <w:gridCol w:w="590"/>
        <w:gridCol w:w="1"/>
        <w:gridCol w:w="58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8"/>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8"/>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11"/>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GX4040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GX4010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GX4030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GX4020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GX5020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GX5030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GX5040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GX5010</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GX6010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GX6020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GX6040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GX6030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Entry Point is September</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qaa.ac.uk/docs/qaa/subject-benchmark-statements/subject-benchmark-statement-architecture.pdf?sfvrsn=9fa2cc81_12" TargetMode="External"/><Relationship Id="rId18" Type="http://schemas.openxmlformats.org/officeDocument/2006/relationships/hyperlink" Target="https://chiplay.acm.org/2026/" TargetMode="External"/><Relationship Id="rId8" Type="http://schemas.openxmlformats.org/officeDocument/2006/relationships/image" Target="media/image1.png"/><Relationship Id="rId21" Type="http://schemas.openxmlformats.org/officeDocument/2006/relationships/theme" Target="theme/theme1.xml"/><Relationship Id="rId3" Type="http://schemas.openxmlformats.org/officeDocument/2006/relationships/fontTable" Target="fontTable.xml"/><Relationship Id="rId12" Type="http://schemas.openxmlformats.org/officeDocument/2006/relationships/hyperlink" Target="https://www.qaa.ac.uk/docs/qaa/sbs/sbs-computing-22.pdf?sfvrsn=ebb3dc81_4" TargetMode="External"/><Relationship Id="rId17" Type="http://schemas.openxmlformats.org/officeDocument/2006/relationships/hyperlink" Target="https://igda.org/" TargetMode="External"/><Relationship Id="rId7" Type="http://schemas.openxmlformats.org/officeDocument/2006/relationships/customXml" Target="../customXml/item4.xml"/><Relationship Id="rId16" Type="http://schemas.openxmlformats.org/officeDocument/2006/relationships/hyperlink" Target="https://tiga.org/" TargetMode="External"/><Relationship Id="rId2" Type="http://schemas.openxmlformats.org/officeDocument/2006/relationships/webSettings" Target="webSettings.xml"/><Relationship Id="rId20" Type="http://schemas.openxmlformats.org/officeDocument/2006/relationships/hyperlink" Target="https://digra.org/" TargetMode="External"/><Relationship Id="rId1" Type="http://schemas.openxmlformats.org/officeDocument/2006/relationships/settings" Target="settings.xml"/><Relationship Id="rId11" Type="http://schemas.openxmlformats.org/officeDocument/2006/relationships/hyperlink" Target="https://www.qaa.ac.uk/docs/qaa/subject-benchmark-statements/sbs-art-and-design-17.pdf?sfvrsn=71eef781_22" TargetMode="External"/><Relationship Id="rId6" Type="http://schemas.openxmlformats.org/officeDocument/2006/relationships/customXml" Target="../customXml/item3.xml"/><Relationship Id="rId15" Type="http://schemas.openxmlformats.org/officeDocument/2006/relationships/hyperlink" Target="https://www.qaa.ac.uk/docs/qaa/sbs/sbs-dance-drama-and-performance-24.pdf?sfvrsn=201b481_4" TargetMode="External"/><Relationship Id="rId23" Type="http://schemas.openxmlformats.org/officeDocument/2006/relationships/styles" Target="styles.xml"/><Relationship Id="rId10" Type="http://schemas.openxmlformats.org/officeDocument/2006/relationships/footer" Target="footer1.xml"/><Relationship Id="rId19" Type="http://schemas.openxmlformats.org/officeDocument/2006/relationships/hyperlink" Target="https://www.siggraph.org/" TargetMode="External"/><Relationship Id="rId14" Type="http://schemas.openxmlformats.org/officeDocument/2006/relationships/hyperlink" Target="https://www.qaa.ac.uk/the-quality-code/subject-benchmark-statements/subject-benchmark-statement-creative-writing" TargetMode="External"/><Relationship Id="rId22"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83FFD422-962A-48D1-A8D8-B3643BC97415}"/>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