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Filmmaking: Production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16/08/2024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Film and Photography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Boomsatsuma Education Ltd</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Filmmaking: Production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Filmmaking: Production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Filmmaking: Production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Filmmaking: Production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UFFMP1FMP21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Boomsatsuma Education Ltd</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Boomsatsuma Education Ltd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Boomsatsuma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Boomsatsuma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BA (Hons) Filmmaking: Production sits within boomsatsuma’s Film School. It is a dynamic, practical, and production-focused course for aspiring filmmakers and TV professionals. Our aim is to help you build not only technical and creative skills in film production, but also confidence, resilience, imagination, and a deep understanding of the industry you plan to work in.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We pride ourselves on our industry links. The programme was designed with input from our official Creative Industries partners - including Films at 59, BBC Studios, The Bottle Yard Studios and Plimsoll Productions - and there are opportunities to engage work experience, internships and mentoring alongside formal learning. We encourage you to develop your networks throughout the course by immersing yourself in the creative culture of Bristol - a city home to 190 TV and film production companies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Level 4 introduces the building blocks of film. You will watch films, critique films, direct films, and produce films, as well as experiment with industry standard  filmmaking equipment and software. You will film on location and in the studio, create content for clients, and learn how to work collaboratively in production crews and with post production teams. This foundation helps you develop your skills further at Level 5 where you contribute to a range of film projects (documentary and drama), as well as work in the studio, on set and shoot on-location. At Level 6, you will enhance your knowledge of the film and TV industry and specialise in your chosen roles. Working with students on BA (Hons) Filmmaking: Post Production you’ll also work on a final film that showcases your skills and talent and is presented as part of your graduate portfolio.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Course Aims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Knowledge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you opportunities to engage in intellectual enquiry through research and reflection on the underlying concepts and contexts of film production.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Practice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develop the skills and approaches to creativity, craft, and technique needed to deliver films to a professional standard.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Experimentation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stimulate your imaginative thinking and encourage you to pursue an individual creative voice through experimentation and risk-taking.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Co-Creation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you with opportunities to develop the communicational and organisational skills, temperament, and diplomacy needed to collaborate with others effectively.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 xml:space="preserve">Adaptability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become a self-motivated practitioner that can learn new skills independently and adapt to the ever-changing landscape of the Creative Industries.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Ethics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build a critical understanding of the social, ethical, and legal dimensions of filmmaking.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Culture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shape a supportive environment that inspires students from communities currently underrepresented in the film and TV industry to engage, progress, and succeed in a creative workplace.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Future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deliver insight into the film and TV industry and related Creative Industries career paths, engage core employability skills, and motivate you to take responsibility for your professional development.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contextualised approach to creative practice that is informed by conceptual understanding of the artistic and commercial dimensions of filmmaking.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methods of creative problem solving and design thinking to address challenges both within and outside of the context of filmmaking.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imaginative outcomes in the context of film production practice, and apply methods of experimentation and risk-taking to advance the pursuit of an individual creative voice.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understanding of the intentions and features of storytelling in filmmaking across a range of formats, genres, and treatments.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Take responsibility for your own learning and development using reflection and feedback to analyse personal capacities and plan actions with resilience and criticality.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 systematic approach to the selection and application of structures, techniques, and documentation used in film production to develop a story.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systematic approach to building an informed understanding of film audiences and the production techniques used to engage various viewer demographics and dynamics.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methods of research and critical analysis in filmmaking to acquire, interpret, and communicate knowledge.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workflows and production management strategies in filmmaking as required to plan and develop a creative concept.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evaluate the characteristics and expectations of the film and television industry and the professional skills needed to pursue opportunities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personal responsibility and professional practice when navigating the legal, ethical, and regulatory dimensions of film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film production equipment and software as required to plan and develop a creative concept.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VLE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Navigate are located in the module, Introduction to Film.</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Explore are located in the module, On 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Apply are located in the module, Industry.</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Filmmaking: Production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Filmmaking: Production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Camera, Sound, Edit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Film</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Story and Script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Working with Clients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bidi w:val="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Filmmaking: Production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Creative Content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Documentary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Drama</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On Set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bidi w:val="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Filmmaking: Production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Graduation Film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Industry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Production Company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Masterclasses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Studio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Crits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module’s Google Classroom space as well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external client projects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Google Classroom – Boomsatsuma’s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and accommodation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and wellbeing services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QAA Subject Benchmark Statement for Communication, Media, Film and Cultural Studies (2024)</w:t>
        </w:r>
      </w:hyperlink>
    </w:p>
    <w:p w:rsidRPr="2030048C" w:rsidP="2030048C">
      <w:pPr>
        <w:numPr>
          <w:ilvl w:val="0"/>
          <w:numId w:val="17"/>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UK Quality Code for Higher Education, QAA (2024)</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97"/>
        <w:gridCol w:w="272"/>
        <w:gridCol w:w="676"/>
        <w:gridCol w:w="676"/>
        <w:gridCol w:w="676"/>
        <w:gridCol w:w="676"/>
        <w:gridCol w:w="2"/>
        <w:gridCol w:w="674"/>
        <w:gridCol w:w="676"/>
        <w:gridCol w:w="676"/>
        <w:gridCol w:w="676"/>
        <w:gridCol w:w="4"/>
        <w:gridCol w:w="672"/>
        <w:gridCol w:w="676"/>
        <w:gridCol w:w="68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Intakes start in September.</w:t>
      </w:r>
    </w:p>
    <w:p w:rsidRPr="2030048C" w:rsidP="2030048C">
      <w:pPr>
        <w:rPr>
          <w:rFonts w:ascii="Arial" w:eastAsia="Arial" w:hAnsi="Arial" w:cs="Arial"/>
          <w:sz w:val="24"/>
          <w:szCs w:val="24"/>
        </w:rPr>
      </w:pPr>
      <w:r w:rsidRPr="2030048C">
        <w:rPr>
          <w:rFonts w:ascii="Arial" w:eastAsia="Arial" w:hAnsi="Arial" w:cs="Arial"/>
          <w:sz w:val="24"/>
          <w:szCs w:val="24"/>
        </w:rPr>
        <w:t>This is validated provision.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2024"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the-quality-code/subject-benchmark-statements/subject-benchmark-statement-communication-media-film-and-cultural-studies"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AA44BE3-53D3-4AAF-A6F1-BAABBE63FB1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