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Journalism and Media</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Journalism,  Publishing and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Journalism and Media</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Journalism and Media</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Journalism and Media</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Journalism and Media</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UFJOU2MDA20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Journalism and Media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Journalism and Media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Journalism and Media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Journalism and Media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Not applicable.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spacing w:before="0" w:after="0"/>
        <w:ind w:left="360" w:right="0"/>
        <w:rPr>
          <w:rStyle w:val="normaltextrun"/>
          <w:rFonts w:ascii="Arial" w:eastAsia="Arial" w:hAnsi="Arial" w:cs="Arial"/>
          <w:color w:val="000000" w:themeColor="text1"/>
          <w:sz w:val="24"/>
          <w:szCs w:val="24"/>
          <w:shd w:val="clear" w:color="auto" w:fill="FFFFFF"/>
        </w:rPr>
      </w:pPr>
    </w:p>
    <w:p w:rsidRPr="2030048C" w:rsidP="2030048C">
      <w:pPr>
        <w:pStyle w:val="ListParagraph0"/>
        <w:spacing w:before="0" w:after="0"/>
        <w:ind w:left="0" w:right="0"/>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main aims of the course are to:</w:t>
      </w:r>
    </w:p>
    <w:p w:rsidRPr="2030048C" w:rsidP="2030048C">
      <w:pPr>
        <w:pStyle w:val="ListParagraph0"/>
        <w:numPr>
          <w:ilvl w:val="0"/>
          <w:numId w:val="12"/>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provide students from a wide range of backgrounds with the opportunity to engage in the study and practice of media communications and </w:t>
      </w:r>
      <w:r w:rsidRPr="2030048C">
        <w:rPr>
          <w:rStyle w:val="normaltextrun"/>
          <w:rFonts w:ascii="Arial" w:eastAsia="Arial" w:hAnsi="Arial" w:cs="Arial"/>
          <w:color w:val="000000" w:themeColor="text1"/>
          <w:sz w:val="22"/>
          <w:szCs w:val="22"/>
          <w:shd w:val="clear" w:color="auto" w:fill="FFFFFF"/>
        </w:rPr>
        <w:t>journalism;</w:t>
      </w:r>
    </w:p>
    <w:p w:rsidRPr="2030048C" w:rsidP="2030048C">
      <w:pPr>
        <w:pStyle w:val="ListParagraph0"/>
        <w:numPr>
          <w:ilvl w:val="0"/>
          <w:numId w:val="13"/>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enable students to develop an informed and critical awareness of the forces and dynamics (social, cultural, political, economic and technological) shaping the media industry</w:t>
      </w:r>
      <w:r w:rsidRPr="2030048C">
        <w:rPr>
          <w:rStyle w:val="normaltextrun"/>
          <w:rFonts w:ascii="Arial" w:eastAsia="Arial" w:hAnsi="Arial" w:cs="Arial"/>
          <w:color w:val="000000" w:themeColor="text1"/>
          <w:sz w:val="22"/>
          <w:szCs w:val="22"/>
          <w:shd w:val="clear" w:color="auto" w:fill="FFFFFF"/>
        </w:rPr>
        <w:t>, the role of the media</w:t>
      </w:r>
      <w:r w:rsidRPr="2030048C">
        <w:rPr>
          <w:rStyle w:val="normaltextrun"/>
          <w:rFonts w:ascii="Arial" w:eastAsia="Arial" w:hAnsi="Arial" w:cs="Arial"/>
          <w:color w:val="000000" w:themeColor="text1"/>
          <w:sz w:val="22"/>
          <w:szCs w:val="22"/>
          <w:shd w:val="clear" w:color="auto" w:fill="FFFFFF"/>
        </w:rPr>
        <w:t xml:space="preserve"> and the working environment of journalists </w:t>
      </w:r>
      <w:r w:rsidRPr="2030048C">
        <w:rPr>
          <w:rStyle w:val="normaltextrun"/>
          <w:rFonts w:ascii="Arial" w:eastAsia="Arial" w:hAnsi="Arial" w:cs="Arial"/>
          <w:color w:val="000000" w:themeColor="text1"/>
          <w:sz w:val="22"/>
          <w:szCs w:val="22"/>
          <w:shd w:val="clear" w:color="auto" w:fill="FFFFFF"/>
        </w:rPr>
        <w:t>today;</w:t>
      </w:r>
    </w:p>
    <w:p w:rsidRPr="2030048C" w:rsidP="2030048C">
      <w:pPr>
        <w:pStyle w:val="ListParagraph0"/>
        <w:numPr>
          <w:ilvl w:val="0"/>
          <w:numId w:val="13"/>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develop students’ knowledge and understanding of particular media forms and </w:t>
      </w:r>
      <w:r w:rsidRPr="2030048C">
        <w:rPr>
          <w:rStyle w:val="normaltextrun"/>
          <w:rFonts w:ascii="Arial" w:eastAsia="Arial" w:hAnsi="Arial" w:cs="Arial"/>
          <w:color w:val="000000" w:themeColor="text1"/>
          <w:sz w:val="22"/>
          <w:szCs w:val="22"/>
          <w:shd w:val="clear" w:color="auto" w:fill="FFFFFF"/>
        </w:rPr>
        <w:t xml:space="preserve">provide students with an opportunity to engage critically with different forms, modes and styles of journalism across media </w:t>
      </w:r>
      <w:r w:rsidRPr="2030048C">
        <w:rPr>
          <w:rStyle w:val="normaltextrun"/>
          <w:rFonts w:ascii="Arial" w:eastAsia="Arial" w:hAnsi="Arial" w:cs="Arial"/>
          <w:color w:val="000000" w:themeColor="text1"/>
          <w:sz w:val="22"/>
          <w:szCs w:val="22"/>
          <w:shd w:val="clear" w:color="auto" w:fill="FFFFFF"/>
        </w:rPr>
        <w:t>platforms;</w:t>
      </w:r>
    </w:p>
    <w:p w:rsidRPr="2030048C" w:rsidP="2030048C">
      <w:pPr>
        <w:pStyle w:val="ListParagraph0"/>
        <w:numPr>
          <w:ilvl w:val="0"/>
          <w:numId w:val="13"/>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enable students to develop a range of relevant practical and transferable skills</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 such as flexibility, creativity, teamwork, personal and group responsibility and negotiation</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 which will provide them with a sound basis for pursuing a career in journalism or in the wider world of the cultural and communications industries. </w:t>
      </w:r>
      <w:r w:rsidRPr="2030048C">
        <w:rPr>
          <w:rStyle w:val="normaltextrun"/>
          <w:rFonts w:ascii="Arial" w:eastAsia="Arial" w:hAnsi="Arial" w:cs="Arial"/>
          <w:i/>
          <w:iCs/>
          <w:color w:val="000000" w:themeColor="text1"/>
          <w:sz w:val="22"/>
          <w:szCs w:val="22"/>
          <w:shd w:val="clear" w:color="auto" w:fill="FFFFFF"/>
        </w:rPr>
        <w:t xml:space="preserve"> </w:t>
      </w:r>
    </w:p>
    <w:p w:rsidRPr="2030048C" w:rsidP="2030048C">
      <w:pPr>
        <w:pStyle w:val="ListParagraph0"/>
        <w:numPr>
          <w:ilvl w:val="0"/>
          <w:numId w:val="13"/>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enable students to develop an ethically informed and critical awareness of the roles and responsibilities of journalists in contemporary </w:t>
      </w:r>
      <w:r w:rsidRPr="2030048C">
        <w:rPr>
          <w:rStyle w:val="normaltextrun"/>
          <w:rFonts w:ascii="Arial" w:eastAsia="Arial" w:hAnsi="Arial" w:cs="Arial"/>
          <w:color w:val="000000" w:themeColor="text1"/>
          <w:sz w:val="22"/>
          <w:szCs w:val="22"/>
          <w:shd w:val="clear" w:color="auto" w:fill="FFFFFF"/>
        </w:rPr>
        <w:t>society;</w:t>
      </w:r>
    </w:p>
    <w:p w:rsidRPr="2030048C" w:rsidP="2030048C">
      <w:pPr>
        <w:pStyle w:val="ListParagraph0"/>
        <w:numPr>
          <w:ilvl w:val="0"/>
          <w:numId w:val="13"/>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foster a creative and self-reflective approach to students’ own individual and collective practice as journalists </w:t>
      </w:r>
      <w:r w:rsidRPr="2030048C">
        <w:rPr>
          <w:rStyle w:val="normaltextrun"/>
          <w:rFonts w:ascii="Arial" w:eastAsia="Arial" w:hAnsi="Arial" w:cs="Arial"/>
          <w:color w:val="000000" w:themeColor="text1"/>
          <w:sz w:val="22"/>
          <w:szCs w:val="22"/>
          <w:shd w:val="clear" w:color="auto" w:fill="FFFFFF"/>
        </w:rPr>
        <w:t>and media professionals</w:t>
      </w:r>
    </w:p>
    <w:p w:rsidRPr="2030048C" w:rsidP="2030048C">
      <w:pPr>
        <w:pStyle w:val="ListParagraph0"/>
        <w:numPr>
          <w:ilvl w:val="0"/>
          <w:numId w:val="13"/>
        </w:numPr>
        <w:pBdr>
          <w:left w:val="none" w:sz="0" w:space="7" w:color="auto"/>
        </w:pBdr>
        <w:spacing w:before="0" w:after="0"/>
        <w:ind w:left="36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enable students to c</w:t>
      </w:r>
      <w:r w:rsidRPr="2030048C">
        <w:rPr>
          <w:rStyle w:val="normaltextrun"/>
          <w:rFonts w:ascii="Arial" w:eastAsia="Arial" w:hAnsi="Arial" w:cs="Arial"/>
          <w:color w:val="000000" w:themeColor="text1"/>
          <w:sz w:val="22"/>
          <w:szCs w:val="22"/>
          <w:shd w:val="clear" w:color="auto" w:fill="FFFFFF"/>
        </w:rPr>
        <w:t>arry out sustained independent inquiry, drawing upon a range of conceptual and methodological frameworks appropriate to the analysis of practices of production and consumption of media and culture</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 </w:t>
      </w:r>
    </w:p>
    <w:p w:rsidRPr="2030048C" w:rsidP="2030048C">
      <w:pPr>
        <w:pStyle w:val="ListParagraph0"/>
        <w:spacing w:before="0" w:after="0"/>
        <w:ind w:left="360" w:right="0"/>
        <w:rPr>
          <w:rStyle w:val="normaltextrun"/>
          <w:rFonts w:ascii="Arial" w:eastAsia="Arial" w:hAnsi="Arial" w:cs="Arial"/>
          <w:color w:val="000000" w:themeColor="text1"/>
          <w:sz w:val="24"/>
          <w:szCs w:val="24"/>
          <w:shd w:val="clear" w:color="auto" w:fill="FFFFFF"/>
        </w:rPr>
      </w:pP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legal, ethical, political and cultural framework within which journalists operate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and evaluate their own development and evaluate research through independent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with clarity, simplicity and precision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ways in which current developments in journalism can be understood in relation to technological and other changes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 ability to follow and assess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deploy a range of practical competencies through engagement in media production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range of theoretical perspectives and a variety of methods appropriate to the critical analysis and evaluation of media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strengths and weaknesses in their own writing andidentify ways in which a piece of writing might be improved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revise their work through the process of drafting, editing and rewriting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key features of professional practice in a variety of settings and contexts including a range of audio, visual and verbal conventions which journalists and media practitioners need to master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judge and evaluate truth claims in media studies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work to tight deadlines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central dynamics and forces which shape and frame journalism as an industry and the role journalists play in contemporary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current and future developments in the production and consumption of journalism and the ability to apply that knowledge to their own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the demands of different audiences and readerships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role of media and journalism in historical and contemporary, national and international, economies, societies and politics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 story and its potential market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a story in a variety of formats for a range of different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processes linking the production, circulation and consumption of journalism in contemporary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deploy and manipulate conventions appropriate to different kinds of journalism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their initiative to interact effectively with individuals, groups and organisations to find stories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research, interview and use a variety of primary and secondary sources to produce journalism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C9</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edit and sub-edit the work of others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Journalism and Media</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Journalism and Media</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Digital Media Foundations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MD4004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How Media Changed the World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MD4001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Practical Journalism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JO4001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Thinking about Journalism</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JO4002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in Journalism and Media.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Journalism and Media</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Digital Storytelling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MD5008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Media Brands, Content Creation and Production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JO5012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Practical Journalism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JO5001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Media: Key theories and methods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MD5010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in Journalism and Media.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Journalism and Media</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Media Law and Journalism Ethics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JO6022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Media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MD6002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Practical Communications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CT6002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Media Specialism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CT6001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Television Production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MD6017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Journalism and Media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82"/>
        <w:gridCol w:w="247"/>
        <w:gridCol w:w="652"/>
        <w:gridCol w:w="652"/>
        <w:gridCol w:w="616"/>
        <w:gridCol w:w="616"/>
        <w:gridCol w:w="616"/>
        <w:gridCol w:w="652"/>
        <w:gridCol w:w="616"/>
        <w:gridCol w:w="652"/>
        <w:gridCol w:w="616"/>
        <w:gridCol w:w="616"/>
        <w:gridCol w:w="625"/>
        <w:gridCol w:w="65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MD5008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CT6002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JO6022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MD6002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C497BC7-30BB-4792-83B4-9837861B02C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