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Jewellery Design &amp; Production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British Academy of Jewellery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Jewellery Design &amp; Production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 in Jewellery Design &amp; Production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in Jewellery Design &amp; Production</w:t>
            </w:r>
          </w:p>
          <w:p w:rsidR="72431AC7" w:rsidP="2030048C" w14:paraId="7ABC1166" w14:textId="7E0F963D">
            <w:pPr>
              <w:rPr>
                <w:rFonts w:ascii="Arial" w:eastAsia="Arial" w:hAnsi="Arial" w:cs="Arial"/>
                <w:b w:val="0"/>
                <w:bCs w:val="0"/>
                <w:sz w:val="24"/>
                <w:szCs w:val="24"/>
                <w:lang w:val="en-GB"/>
              </w:rPr>
            </w:pPr>
            <w:r>
              <w:br/>
            </w:r>
            <w:r w:rsidRPr="2030048C" w:rsidR="71C545CA">
              <w:rPr>
                <w:rFonts w:ascii="Arial" w:eastAsia="Arial" w:hAnsi="Arial" w:cs="Arial"/>
                <w:b w:val="0"/>
                <w:bCs w:val="0"/>
                <w:sz w:val="24"/>
                <w:szCs w:val="24"/>
                <w:lang w:val="en-GB"/>
              </w:rPr>
              <w:t>BA in Jewellery Design &amp; Production</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UFJDP1JDP21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W201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Students must normally be 18 years or over on 1 September in the session of admission.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will need: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of 112 tariff points from recognised level 3 qualifications to include an art or design subject such as a foundation diploma in art or design or an art/design related A-level or recognised equivalent.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 candidates are normally required to hold four GCSE subjects grades 9 - 4 including mathematics and English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Offers will be made on the basis of a UCAS application, portfolio of work, and interview for selected applicants.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students or any non-standard applicants who have not obtained the minimum entry qualifications will be required to submit samples of work prior to being called for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invited for an interview are required to present a portfolio of work.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score of 6.0 overall with a minimum of 5.5 in each element in the British Council IELTS academic English test,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Admission to Levels 4 and 5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accordance with University regulations candidates may be admitted to any level of the course, providing that they can demonstrate their ability to effectively fulfil the learning outcomes of the relevant level. This will require an interview and the submission of a portfolio to demonstrate design ability, and the successful completion of an equivalent part of the course to that missed at another educational establishment. An applicant holding an appropriate HND may be admitted to the start of level 5 and applicants who have successfully completed part of an appropriate, related degree course may be admitted into level 5. Admission to level 6 is exceptional. Industrial experience or successfully gaining a merit award in a foundation degree or an international equivalent qualification is acceptable for consideration. Applicants seeking prior credits for advanced standing will be considered through the university’s recognition of prior learning (RPL) credit-rating mechanism.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programme 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to pursue their chosen career pathways through professional practice, related employment, or further study or research.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a range of subject related critical, creative, technical, and professional skills relevant to employment in the industry.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experimentation with, and the creative use of, new and existing techniques, technologies, processes, and materials.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an understanding of creativity within a commercial context.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environment in which to develop an understanding of key critical, professional, theoretical, and cultural debates in the area of jewellery, craft, and design.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bolster students’ skills in research and analysis, critical reflection, and the development of effective and appropriate communication methods, inspiring a dialogue between theory and skills.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independent and critical thinking and the development of transferable skills and competencies.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historical and contemporary jewellery design practice and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development of problem-solving skills through research, critical analysis and the subsequent development of creative solutions within a professional, contextual framework.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level of practical understanding and technical competence - whether in traditional or digital technology - in jewellery production, with ability to apply skills in commercial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relationship between theory and practice in art and design as it relates to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 professional level of individual creativity, vision, personal expression and intellectual ability in jewellery production and design which enables successful practising in their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understanding of new and future methods, materials, processes and technologies appropriate to jewellery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national and international contexts of the jewellery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cultural, conceptual and professional contexts relevant to the evaluation and understanding of their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Deploy personal and professional presentation skills delivering information effectively and coherently in a variety of 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contemporary and historical art, craft and design issues, appropriate theory and the development of skills in critical analysis for their own sake or for the application to their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personal articulation of the processes related to resolving design problems from research and analyses through design development to presentations.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project management and organisational skills, demonstrating ability for independent learning through the capacity to manage and where appropriate initiate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first two levels are made up of 4 modules of each 30 credits; the last level is made up of two 30 credit modules and one module of 60 credits. Typically, a student must complete 120 credits at each level. The programme is part of the university’s undergraduate regulations (UR). All students will be provided with the university undergraduate regulations and the course handbook. Full details of each module will be provided in module descriptors and module guides.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Jewellery Design &amp; Production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Jewellery Design &amp; Production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Analogue &amp; Digital Design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PD4102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Contextualising Jewellery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PD4104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Jewellery Workshop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PD4101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Basics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PD4103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Jewellery Design &amp; Production.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Jewellery Design &amp; Production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Analogue &amp; Digital Design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PD5102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Jewellery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PD5104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Jewellery Fabrication &amp; Material Experimentation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PD5101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PD5103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Jewellery Design &amp; Production.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Jewellery Design &amp; Production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Defining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PD6102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Dissertation: Research &amp; Reflection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PD6103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PD6101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b/>
          <w:bCs/>
          <w:sz w:val="24"/>
          <w:szCs w:val="24"/>
        </w:rPr>
        <w:t>TEACHING AND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methods have been developed and chosen in relation to the subject and the industry.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adopted teaching strategies aim to: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Reflect the changing needs of the student body.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Respond to industry developments.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Develop students’ knowledge base with transferable skills appropriate to a career in the industry.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Be clearly understood by staff and students.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Be informed by research and knowledge of the historical, current, and future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delivery of the taught modules is by means of lectures, seminars, workshops, group critique, individual tutorials, demonstrations, academic supervision, projects, briefings, study visits, peer learning, independent learning, and study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 A member of staff or invited guest will provide taught input, often followed up by group discussion to ensure a full understanding and to encourage critical analysis of the material.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 Seminars normally consist of structured student or staff-led presentations followed by discussion. The seminar is usually based on a topic which has been previously prepared and circulated. Active participation and quality of presentation and discussion in seminars are expected. Student discussion and critical debate are encouraged.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Demonstration - This often involves the first introduction to a material, technology, process, technique, or equipment not previously experienced by a group of students. It is intended to make students aware of the potential and characteristics and potential of the ‘subject’ and it is not intended that every student will necessarily go on to learn and apply the skills or knowledge.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Projects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Academic supervision - Academic supervision goes one step further than a demonstration in that members of staff will assist students in the acquisition or strengthening of a particular skill or aspect of learning. The degree of assistance is usually determined by the capabilities of the individual student. Supervision of this kind will mean that a member of staff is close at hand to assist with problems.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Study visits - By definition, a study visit will involve travelling to strategic venues of interest which may vary from visits to galleries and museums to course-specific events such as shows, exhibitions, or visits to industry or sites. They form an essential part of the students’ learning experience as they provide the opportunity to see examples of design and industry in multiple ‘real life’ contexts. Where additional costs are involved students in need of student support to attend events will be able to apply for financial support towards completing the study visits.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Briefing - A briefing takes place to make known and explain the specifics of projects; theme, aims and objectives, learning outcomes, timetable etc.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Peer-learning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reviews and seminars.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Independent study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Guided-learning - During project work a student may be scheduled for a taught session but be expected to stay and work on the project for the entirety of the day, this is referred to as guided learning or supervised study. Guided learning enables access to technical and academic staff, as well as supporting the development of personalised learning, and may enable access to the studio. The studio provides a natural and readily available environment for peer-to-peer learning and group work, and we encourage our students to engage with studio practice as part of the learning and teaching.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Research informed teaching - Research-informed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practise and then explore research methodologies in relation to the contexts of design.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Study skills - Study skills largely refer to the acquisition of communication skills, techniques of information retrieval, and strategies of self-management in relation to study. Above all study skills mean learning how to study.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Workshops – A meeting or series of meetings emphasising interaction and exchange of information engaging intensive discussion and activity on a subject or project.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Degree show – A showcase of the final project results to the general public, key industry members and employers.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Technology-enhanced learning will be utilised across the programme through tutor-led technical workshops which build on the skills base throughout the three years of study. Areas covered typically include Matrix, Rhino, Adobe Photoshop, Illustrator and InDesign, etc.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The VLE (virtual learning environment): This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Academy. Additionally, the VLE seeks to enhance communication, a sense of community, and inter-course discussion and debate.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Accessibility and inclusiveness: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all to succeed.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is both summative and formative. Primarily, summative assessment is intended to identify what has been learned (assessment of learning) and therefore the assessed mark counts towards the module grade awarded. Formative assessment is intended to help students to learn (assessment for learning) and provides opportunities for students to identify their strengths and weaknesses, focus on areas they need to work and improve, and identify how to achieve improvements.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Formative assessments will take place at several intervals during the course. Feedback, both formal and informal, is maximised throughout the programme and may take the form of individual tutorials, presentations, essays, shows and degree exhibits, portfolios, and module assessments. Students are given regular feedback/feed-forward through interaction in the studios in the development of projects, tutorials, group review, and practice presentations.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Group Review- On these occasions a group of students and members of staff and, if appropriate, invited guests from industry will discuss the work of one or more students who are present. Group reviews can take place in studios or students’ work-place – if appropriate; the work to be discussed might alternatively be more formally exhibited.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 Additionally, group reviews provide opportunities for ‘feed-forward’ in relation to project aims, programme aims, and student outcomes.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Practice presentation – Commonly performed in front of peers, a practice presentation enables students to practise the presenting of their work and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Tutorials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Peer- and self-assessment – A process whereby students or their peers assess coursework based on pre-set benchmarks. The practice improves students' understanding of course materials as well as improves their metacognitive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following summative assessment methods will be applied: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Portfolio of coursework – A collection of work intended to demonstrate a student’s abilities to meet the learning outcomes. </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br/>
      </w:r>
      <w:r w:rsidRPr="2030048C">
        <w:rPr>
          <w:rFonts w:ascii="Arial" w:eastAsia="Arial" w:hAnsi="Arial" w:cs="Arial"/>
          <w:sz w:val="24"/>
          <w:szCs w:val="24"/>
        </w:rPr>
        <w:t>Personal development plan (PDP) – Personal development planning is the process of creating an action plan based on awareness, values, reflection, goal setting and planning for personal development within the context of the course, career goals and self-improvement.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Individual and group presentations – A method to explain and present creative thinking and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Extended piece of writing - The extended piece of writing assesses evidence of students’ understanding of market research, commerciality and retail within the jewellery industry. Students are allowed to choose the format of submission of the extended piece of writing. For example, a blog could be created instead of submitting the writing as an essay.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Individual and group assignment report - The individual or group assignment report documents the results of the assignment, how the project was organised, and the work developed, including a self- and peer-assessment of the performance of each member of the group in achieving the objectives.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Essay – A short, structured piece of writing on a particular subject.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Research portfolio – A collection of creative work intended to demonstrate a student’s abilities to research and develop ideas.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Dissertation - The dissertation assesses evidence of research and academic skills; application of skills in the identification, synthesis, analysis and evaluation of argument and critical positions; originality and autonomy; and students' ability to relate to issues within their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Statement of practice - The statement assesses critical reflection; awareness of contemporary contexts; application of research findings to own practice; written communication skills; independent thinking and research. </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also contains a capstone project (PD6101) which is designed to be a culminating educational experience for students. It aims to summarise and synthesise all or part of a student’s academic career at the university. Capstone projects help students to reflect on the knowledge and skills that they have acquired during their degree and learn how to present them to a wider audience including future employers.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and criteria are clearly described in every written brief and mapped appropriately to the module learning outcomes. The assessment criteria are generally additionally communicated verbally at each project briefing. Rubrics will be presented formally to students via Canvas.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The personal tutor scheme </w:t>
      </w:r>
    </w:p>
    <w:p w:rsidRPr="2030048C" w:rsidP="2030048C">
      <w:pPr>
        <w:rPr>
          <w:rFonts w:ascii="Arial" w:eastAsia="Arial" w:hAnsi="Arial" w:cs="Arial"/>
          <w:sz w:val="24"/>
          <w:szCs w:val="24"/>
        </w:rPr>
      </w:pPr>
      <w:r w:rsidRPr="2030048C">
        <w:rPr>
          <w:rFonts w:ascii="Arial" w:eastAsia="Arial" w:hAnsi="Arial" w:cs="Arial"/>
          <w:sz w:val="24"/>
          <w:szCs w:val="24"/>
        </w:rPr>
        <w:t> Aims of personal tutor scheme: </w:t>
      </w:r>
    </w:p>
    <w:p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To provide appropriate academic advice and guidance throughout a student’s studies by monitoring progress and identifying individual needs.</w:t>
      </w:r>
    </w:p>
    <w:p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To provide a holistic overview and guidance for individual study and the development of personal practice. </w:t>
      </w:r>
    </w:p>
    <w:p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To provide a formalised structure for the ongoing process of formative feedback and personal development embedded in studio culture and teaching. </w:t>
      </w:r>
    </w:p>
    <w:p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To help to develop a student’s ability to be self-reliant and reflective and their ability to use feedback/feed forward to best advantage.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Key features of personal tutor scheme: </w:t>
      </w:r>
    </w:p>
    <w:p w:rsidRPr="2030048C" w:rsidP="2030048C">
      <w:pPr>
        <w:numPr>
          <w:ilvl w:val="0"/>
          <w:numId w:val="43"/>
        </w:numPr>
        <w:ind w:left="720" w:hanging="360"/>
        <w:jc w:val="left"/>
        <w:rPr>
          <w:rFonts w:ascii="Arial" w:eastAsia="Arial" w:hAnsi="Arial" w:cs="Arial"/>
          <w:sz w:val="24"/>
          <w:szCs w:val="24"/>
        </w:rPr>
      </w:pPr>
      <w:r w:rsidRPr="2030048C">
        <w:rPr>
          <w:rFonts w:ascii="Arial" w:eastAsia="Arial" w:hAnsi="Arial" w:cs="Arial"/>
          <w:sz w:val="24"/>
          <w:szCs w:val="24"/>
        </w:rPr>
        <w:t>Personal tutors will be allocated at the beginning of the academic year. </w:t>
      </w:r>
    </w:p>
    <w:p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 </w:t>
      </w:r>
    </w:p>
    <w:p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Students will keep the same personal tutor throughout each year: level 4, 5, and 6. </w:t>
      </w:r>
    </w:p>
    <w:p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One-on-one meetings will vary in length depending on the profile and needs of individual students. </w:t>
      </w:r>
    </w:p>
    <w:p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Personal tutoring will be embedded in modules, personal tutors will support with the development of Personal Development Plans produced for modules PD4103, PD5103 and PD6102.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BAJ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hourly-paid lecturing staff with project-related skills, knowledge, and expertise. Under the personal tutor scheme permanent staff will assume this role and their responsibilities will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Level 4: </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Teaching block 1: minimum of three one-on-one meetings </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Teaching block 2: minimum of two face-to-face meetings (may be group or one-on-one) </w:t>
      </w:r>
    </w:p>
    <w:p w:rsidRPr="2030048C" w:rsidP="2030048C">
      <w:pPr>
        <w:numPr>
          <w:ilvl w:val="0"/>
          <w:numId w:val="46"/>
        </w:numPr>
        <w:ind w:left="720" w:hanging="360"/>
        <w:jc w:val="left"/>
        <w:rPr>
          <w:rFonts w:ascii="Arial" w:eastAsia="Arial" w:hAnsi="Arial" w:cs="Arial"/>
          <w:sz w:val="24"/>
          <w:szCs w:val="24"/>
        </w:rPr>
      </w:pPr>
      <w:r w:rsidRPr="2030048C">
        <w:rPr>
          <w:rFonts w:ascii="Arial" w:eastAsia="Arial" w:hAnsi="Arial" w:cs="Arial"/>
          <w:sz w:val="24"/>
          <w:szCs w:val="24"/>
        </w:rPr>
        <w:t>Wrap-up email at the end of the academic year.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Level 5: </w:t>
      </w:r>
    </w:p>
    <w:p w:rsidRPr="2030048C" w:rsidP="2030048C">
      <w:pPr>
        <w:numPr>
          <w:ilvl w:val="0"/>
          <w:numId w:val="47"/>
        </w:numPr>
        <w:ind w:left="720" w:hanging="360"/>
        <w:jc w:val="left"/>
        <w:rPr>
          <w:rFonts w:ascii="Arial" w:eastAsia="Arial" w:hAnsi="Arial" w:cs="Arial"/>
          <w:sz w:val="24"/>
          <w:szCs w:val="24"/>
        </w:rPr>
      </w:pPr>
      <w:r w:rsidRPr="2030048C">
        <w:rPr>
          <w:rFonts w:ascii="Arial" w:eastAsia="Arial" w:hAnsi="Arial" w:cs="Arial"/>
          <w:sz w:val="24"/>
          <w:szCs w:val="24"/>
        </w:rPr>
        <w:t>Welcome back and year planning meeting, one-on-one  </w:t>
      </w:r>
    </w:p>
    <w:p w:rsidRPr="2030048C" w:rsidP="2030048C">
      <w:pPr>
        <w:numPr>
          <w:ilvl w:val="0"/>
          <w:numId w:val="47"/>
        </w:numPr>
        <w:ind w:left="720" w:hanging="360"/>
        <w:jc w:val="left"/>
        <w:rPr>
          <w:rFonts w:ascii="Arial" w:eastAsia="Arial" w:hAnsi="Arial" w:cs="Arial"/>
          <w:sz w:val="24"/>
          <w:szCs w:val="24"/>
        </w:rPr>
      </w:pPr>
      <w:r w:rsidRPr="2030048C">
        <w:rPr>
          <w:rFonts w:ascii="Arial" w:eastAsia="Arial" w:hAnsi="Arial" w:cs="Arial"/>
          <w:sz w:val="24"/>
          <w:szCs w:val="24"/>
        </w:rPr>
        <w:t>End of teaching block 1: email contact or one-on-one  </w:t>
      </w:r>
    </w:p>
    <w:p w:rsidRPr="2030048C" w:rsidP="2030048C">
      <w:pPr>
        <w:numPr>
          <w:ilvl w:val="0"/>
          <w:numId w:val="48"/>
        </w:numPr>
        <w:ind w:left="720" w:hanging="360"/>
        <w:jc w:val="left"/>
        <w:rPr>
          <w:rFonts w:ascii="Arial" w:eastAsia="Arial" w:hAnsi="Arial" w:cs="Arial"/>
          <w:sz w:val="24"/>
          <w:szCs w:val="24"/>
        </w:rPr>
      </w:pPr>
      <w:r w:rsidRPr="2030048C">
        <w:rPr>
          <w:rFonts w:ascii="Arial" w:eastAsia="Arial" w:hAnsi="Arial" w:cs="Arial"/>
          <w:sz w:val="24"/>
          <w:szCs w:val="24"/>
        </w:rPr>
        <w:t>Wrap-up email at the end of the academic year.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Level 6: </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Welcome back and year planning meeting, one-on-one  </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End of teaching block 1: email contact or one-on-one  </w:t>
      </w:r>
    </w:p>
    <w:p w:rsidRPr="2030048C" w:rsidP="2030048C">
      <w:pPr>
        <w:numPr>
          <w:ilvl w:val="0"/>
          <w:numId w:val="50"/>
        </w:numPr>
        <w:ind w:left="720" w:hanging="360"/>
        <w:jc w:val="left"/>
        <w:rPr>
          <w:rFonts w:ascii="Arial" w:eastAsia="Arial" w:hAnsi="Arial" w:cs="Arial"/>
          <w:sz w:val="24"/>
          <w:szCs w:val="24"/>
        </w:rPr>
      </w:pPr>
      <w:r w:rsidRPr="2030048C">
        <w:rPr>
          <w:rFonts w:ascii="Arial" w:eastAsia="Arial" w:hAnsi="Arial" w:cs="Arial"/>
          <w:sz w:val="24"/>
          <w:szCs w:val="24"/>
        </w:rPr>
        <w:t>Wrap-up email at the end of the academic year.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Studio Structure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courses within BAJ place the studio at the heart of the learning support experience. The studio is both a physical environment and a design education ethos. It affirms course and student identity with each course owning its own dedicated studio space(s) and each course level its own space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Workshop Structure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diverse range of workshop spaces provides an integral resource to support studio learning. They are an extension of the studio space but equipped with particular, specialist facilities. The workshops are a primary means of facilitating connections with external partners.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students are supported by: </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numPr>
          <w:ilvl w:val="0"/>
          <w:numId w:val="5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 </w:t>
      </w:r>
    </w:p>
    <w:p w:rsidRPr="2030048C" w:rsidP="2030048C">
      <w:pPr>
        <w:numPr>
          <w:ilvl w:val="0"/>
          <w:numId w:val="51"/>
        </w:numPr>
        <w:ind w:left="720" w:hanging="360"/>
        <w:jc w:val="left"/>
        <w:rPr>
          <w:rFonts w:ascii="Arial" w:eastAsia="Arial" w:hAnsi="Arial" w:cs="Arial"/>
          <w:sz w:val="24"/>
          <w:szCs w:val="24"/>
        </w:rPr>
      </w:pPr>
      <w:r w:rsidRPr="2030048C">
        <w:rPr>
          <w:rFonts w:ascii="Arial" w:eastAsia="Arial" w:hAnsi="Arial" w:cs="Arial"/>
          <w:sz w:val="24"/>
          <w:szCs w:val="24"/>
        </w:rPr>
        <w:t>Module leaders for each module </w:t>
      </w:r>
    </w:p>
    <w:p w:rsidRPr="2030048C" w:rsidP="2030048C">
      <w:pPr>
        <w:numPr>
          <w:ilvl w:val="0"/>
          <w:numId w:val="51"/>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5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educational software </w:t>
      </w:r>
    </w:p>
    <w:p w:rsidRPr="2030048C" w:rsidP="2030048C">
      <w:pPr>
        <w:numPr>
          <w:ilvl w:val="0"/>
          <w:numId w:val="52"/>
        </w:numPr>
        <w:ind w:left="720" w:hanging="360"/>
        <w:jc w:val="left"/>
        <w:rPr>
          <w:rFonts w:ascii="Arial" w:eastAsia="Arial" w:hAnsi="Arial" w:cs="Arial"/>
          <w:sz w:val="24"/>
          <w:szCs w:val="24"/>
        </w:rPr>
      </w:pPr>
      <w:r w:rsidRPr="2030048C">
        <w:rPr>
          <w:rFonts w:ascii="Arial" w:eastAsia="Arial" w:hAnsi="Arial" w:cs="Arial"/>
          <w:sz w:val="24"/>
          <w:szCs w:val="24"/>
        </w:rPr>
        <w:t>A designated course administrator </w:t>
      </w:r>
    </w:p>
    <w:p w:rsidRPr="2030048C" w:rsidP="2030048C">
      <w:pPr>
        <w:numPr>
          <w:ilvl w:val="0"/>
          <w:numId w:val="52"/>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 </w:t>
      </w:r>
    </w:p>
    <w:p w:rsidRPr="2030048C" w:rsidP="2030048C">
      <w:pPr>
        <w:numPr>
          <w:ilvl w:val="0"/>
          <w:numId w:val="52"/>
        </w:numPr>
        <w:ind w:left="720" w:hanging="360"/>
        <w:jc w:val="left"/>
        <w:rPr>
          <w:rFonts w:ascii="Arial" w:eastAsia="Arial" w:hAnsi="Arial" w:cs="Arial"/>
          <w:sz w:val="24"/>
          <w:szCs w:val="24"/>
        </w:rPr>
      </w:pPr>
      <w:r w:rsidRPr="2030048C">
        <w:rPr>
          <w:rFonts w:ascii="Arial" w:eastAsia="Arial" w:hAnsi="Arial" w:cs="Arial"/>
          <w:sz w:val="24"/>
          <w:szCs w:val="24"/>
        </w:rPr>
        <w:t>A BAJ Academic Skills Advisor who provides support for students on a bookable daily basis </w:t>
      </w:r>
    </w:p>
    <w:p w:rsidRPr="2030048C" w:rsidP="2030048C">
      <w:pPr>
        <w:numPr>
          <w:ilvl w:val="0"/>
          <w:numId w:val="52"/>
        </w:numPr>
        <w:ind w:left="720" w:hanging="360"/>
        <w:jc w:val="left"/>
        <w:rPr>
          <w:rFonts w:ascii="Arial" w:eastAsia="Arial" w:hAnsi="Arial" w:cs="Arial"/>
          <w:sz w:val="24"/>
          <w:szCs w:val="24"/>
        </w:rPr>
      </w:pPr>
      <w:r w:rsidRPr="2030048C">
        <w:rPr>
          <w:rFonts w:ascii="Arial" w:eastAsia="Arial" w:hAnsi="Arial" w:cs="Arial"/>
          <w:sz w:val="24"/>
          <w:szCs w:val="24"/>
        </w:rPr>
        <w:t>A BAJ Student Achievement Officer who provides students with pastoral advice </w:t>
      </w:r>
    </w:p>
    <w:p w:rsidRPr="2030048C" w:rsidP="2030048C">
      <w:pPr>
        <w:numPr>
          <w:ilvl w:val="0"/>
          <w:numId w:val="53"/>
        </w:numPr>
        <w:ind w:left="720" w:hanging="360"/>
        <w:jc w:val="left"/>
        <w:rPr>
          <w:rFonts w:ascii="Arial" w:eastAsia="Arial" w:hAnsi="Arial" w:cs="Arial"/>
          <w:sz w:val="24"/>
          <w:szCs w:val="24"/>
        </w:rPr>
      </w:pPr>
      <w:r w:rsidRPr="2030048C">
        <w:rPr>
          <w:rFonts w:ascii="Arial" w:eastAsia="Arial" w:hAnsi="Arial" w:cs="Arial"/>
          <w:sz w:val="24"/>
          <w:szCs w:val="24"/>
        </w:rPr>
        <w:t>NUS (National Union of Students) </w:t>
      </w:r>
    </w:p>
    <w:p w:rsidRPr="2030048C" w:rsidP="2030048C">
      <w:pPr>
        <w:numPr>
          <w:ilvl w:val="0"/>
          <w:numId w:val="53"/>
        </w:numPr>
        <w:ind w:left="720" w:hanging="360"/>
        <w:jc w:val="left"/>
        <w:rPr>
          <w:rFonts w:ascii="Arial" w:eastAsia="Arial" w:hAnsi="Arial" w:cs="Arial"/>
          <w:sz w:val="24"/>
          <w:szCs w:val="24"/>
        </w:rPr>
      </w:pPr>
      <w:r w:rsidRPr="2030048C">
        <w:rPr>
          <w:rFonts w:ascii="Arial" w:eastAsia="Arial" w:hAnsi="Arial" w:cs="Arial"/>
          <w:sz w:val="24"/>
          <w:szCs w:val="24"/>
        </w:rPr>
        <w:t>Staff/student consultative committee (SSCC) </w:t>
      </w:r>
    </w:p>
    <w:p w:rsidRPr="2030048C" w:rsidP="2030048C">
      <w:pPr>
        <w:numPr>
          <w:ilvl w:val="0"/>
          <w:numId w:val="53"/>
        </w:numPr>
        <w:ind w:left="720" w:hanging="360"/>
        <w:jc w:val="left"/>
        <w:rPr>
          <w:rFonts w:ascii="Arial" w:eastAsia="Arial" w:hAnsi="Arial" w:cs="Arial"/>
          <w:sz w:val="24"/>
          <w:szCs w:val="24"/>
        </w:rPr>
      </w:pPr>
      <w:r w:rsidRPr="2030048C">
        <w:rPr>
          <w:rFonts w:ascii="Arial" w:eastAsia="Arial" w:hAnsi="Arial" w:cs="Arial"/>
          <w:sz w:val="24"/>
          <w:szCs w:val="24"/>
        </w:rPr>
        <w:t>Board of Study (BOS) </w:t>
      </w:r>
    </w:p>
    <w:p w:rsidRPr="2030048C" w:rsidP="2030048C">
      <w:pPr>
        <w:numPr>
          <w:ilvl w:val="0"/>
          <w:numId w:val="53"/>
        </w:numPr>
        <w:ind w:left="720" w:hanging="360"/>
        <w:jc w:val="left"/>
        <w:rPr>
          <w:rFonts w:ascii="Arial" w:eastAsia="Arial" w:hAnsi="Arial" w:cs="Arial"/>
          <w:sz w:val="24"/>
          <w:szCs w:val="24"/>
        </w:rPr>
      </w:pPr>
      <w:r w:rsidRPr="2030048C">
        <w:rPr>
          <w:rFonts w:ascii="Arial" w:eastAsia="Arial" w:hAnsi="Arial" w:cs="Arial"/>
          <w:sz w:val="24"/>
          <w:szCs w:val="24"/>
        </w:rPr>
        <w:t>Support for students with a disability </w:t>
      </w:r>
    </w:p>
    <w:p w:rsidRPr="2030048C" w:rsidP="2030048C">
      <w:pPr>
        <w:numPr>
          <w:ilvl w:val="0"/>
          <w:numId w:val="53"/>
        </w:numPr>
        <w:ind w:left="720" w:hanging="360"/>
        <w:jc w:val="left"/>
        <w:rPr>
          <w:rFonts w:ascii="Arial" w:eastAsia="Arial" w:hAnsi="Arial" w:cs="Arial"/>
          <w:sz w:val="24"/>
          <w:szCs w:val="24"/>
        </w:rPr>
      </w:pPr>
      <w:r w:rsidRPr="2030048C">
        <w:rPr>
          <w:rFonts w:ascii="Arial" w:eastAsia="Arial" w:hAnsi="Arial" w:cs="Arial"/>
          <w:sz w:val="24"/>
          <w:szCs w:val="24"/>
        </w:rPr>
        <w:t>Information services, including library resources </w:t>
      </w:r>
    </w:p>
    <w:p w:rsidRPr="2030048C" w:rsidP="2030048C">
      <w:pPr>
        <w:numPr>
          <w:ilvl w:val="0"/>
          <w:numId w:val="54"/>
        </w:numPr>
        <w:ind w:left="720" w:hanging="360"/>
        <w:jc w:val="left"/>
        <w:rPr>
          <w:rFonts w:ascii="Arial" w:eastAsia="Arial" w:hAnsi="Arial" w:cs="Arial"/>
          <w:sz w:val="24"/>
          <w:szCs w:val="24"/>
        </w:rPr>
      </w:pPr>
      <w:r w:rsidRPr="2030048C">
        <w:rPr>
          <w:rFonts w:ascii="Arial" w:eastAsia="Arial" w:hAnsi="Arial" w:cs="Arial"/>
          <w:sz w:val="24"/>
          <w:szCs w:val="24"/>
        </w:rPr>
        <w:t>Information on scholarships and bursaries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International student support: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At BAJ we value diversity and want to support international students to flourish away from home. In addition to the above support available to all students and the diverse team of tutors available to provide international students with one-on-one support, we have a package of additional support activities and resources available, tailored to international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55"/>
        </w:numPr>
        <w:ind w:left="720" w:hanging="360"/>
        <w:jc w:val="left"/>
        <w:rPr>
          <w:rFonts w:ascii="Arial" w:eastAsia="Arial" w:hAnsi="Arial" w:cs="Arial"/>
          <w:sz w:val="24"/>
          <w:szCs w:val="24"/>
        </w:rPr>
      </w:pPr>
      <w:r w:rsidRPr="2030048C">
        <w:rPr>
          <w:rFonts w:ascii="Arial" w:eastAsia="Arial" w:hAnsi="Arial" w:cs="Arial"/>
          <w:sz w:val="24"/>
          <w:szCs w:val="24"/>
        </w:rPr>
        <w:t>International orientation day: the international orientation day has been created to introduce you to studying and living in London whilst also giving you an opportunity to make friends with other international students. </w:t>
      </w:r>
    </w:p>
    <w:p w:rsidRPr="2030048C" w:rsidP="2030048C">
      <w:pPr>
        <w:numPr>
          <w:ilvl w:val="0"/>
          <w:numId w:val="55"/>
        </w:numPr>
        <w:ind w:left="720" w:hanging="360"/>
        <w:jc w:val="left"/>
        <w:rPr>
          <w:rFonts w:ascii="Arial" w:eastAsia="Arial" w:hAnsi="Arial" w:cs="Arial"/>
          <w:sz w:val="24"/>
          <w:szCs w:val="24"/>
        </w:rPr>
      </w:pPr>
      <w:r w:rsidRPr="2030048C">
        <w:rPr>
          <w:rFonts w:ascii="Arial" w:eastAsia="Arial" w:hAnsi="Arial" w:cs="Arial"/>
          <w:sz w:val="24"/>
          <w:szCs w:val="24"/>
        </w:rPr>
        <w:t>Language support: BAJ offers courses and tutorials for students who wish to improve their English language skills and/or need support whilst on the course.  </w:t>
      </w:r>
    </w:p>
    <w:p w:rsidRPr="2030048C" w:rsidP="2030048C">
      <w:pPr>
        <w:numPr>
          <w:ilvl w:val="0"/>
          <w:numId w:val="55"/>
        </w:numPr>
        <w:ind w:left="720" w:hanging="360"/>
        <w:jc w:val="left"/>
        <w:rPr>
          <w:rFonts w:ascii="Arial" w:eastAsia="Arial" w:hAnsi="Arial" w:cs="Arial"/>
          <w:sz w:val="24"/>
          <w:szCs w:val="24"/>
        </w:rPr>
      </w:pPr>
      <w:r w:rsidRPr="2030048C">
        <w:rPr>
          <w:rFonts w:ascii="Arial" w:eastAsia="Arial" w:hAnsi="Arial" w:cs="Arial"/>
          <w:sz w:val="24"/>
          <w:szCs w:val="24"/>
        </w:rPr>
        <w:t>Access to international student house: International student house (ISH) arranges social and cultural events for international students in London. As a BAJ student, you can join ISH for free and attend events such as free cinema screenings, discounted trips around the UK and Europe, musical events, and much more. </w:t>
      </w:r>
    </w:p>
    <w:p w:rsidRPr="2030048C" w:rsidP="2030048C">
      <w:pPr>
        <w:numPr>
          <w:ilvl w:val="0"/>
          <w:numId w:val="55"/>
        </w:numPr>
        <w:ind w:left="720" w:hanging="360"/>
        <w:jc w:val="left"/>
        <w:rPr>
          <w:rFonts w:ascii="Arial" w:eastAsia="Arial" w:hAnsi="Arial" w:cs="Arial"/>
          <w:sz w:val="24"/>
          <w:szCs w:val="24"/>
        </w:rPr>
      </w:pPr>
      <w:r w:rsidRPr="2030048C">
        <w:rPr>
          <w:rFonts w:ascii="Arial" w:eastAsia="Arial" w:hAnsi="Arial" w:cs="Arial"/>
          <w:sz w:val="24"/>
          <w:szCs w:val="24"/>
        </w:rPr>
        <w:t>Prepare for success web learning: Prepare for success is a free web learning resource for international students coming to study in the UK, accessible via the BAJ website. It was developed by the University of Southampton with funding from UKCISA. This online toolkit aims to introduce you to aspects of university study in the UK which might be new or different for you, help you prepare for any cultural changes that might lie ahead, answer some of the questions you probably have about studying in the UK, and provide you with an opportunity to use and improve your language skills while finding out about studying in the UK.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BAJ and Kingston University have several methods for evaluating and improving the quality and standards of its provision. These include: </w:t>
      </w:r>
    </w:p>
    <w:p w:rsidR="3D0EBCB8" w:rsidRPr="2030048C" w:rsidP="2030048C">
      <w:pPr>
        <w:numPr>
          <w:ilvl w:val="0"/>
          <w:numId w:val="56"/>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56"/>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 </w:t>
      </w:r>
    </w:p>
    <w:p w:rsidR="3D0EBCB8" w:rsidRPr="2030048C" w:rsidP="2030048C">
      <w:pPr>
        <w:numPr>
          <w:ilvl w:val="0"/>
          <w:numId w:val="5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56"/>
        </w:numPr>
        <w:ind w:left="720" w:hanging="360"/>
        <w:jc w:val="left"/>
        <w:rPr>
          <w:rFonts w:ascii="Arial" w:eastAsia="Arial" w:hAnsi="Arial" w:cs="Arial"/>
          <w:sz w:val="24"/>
          <w:szCs w:val="24"/>
        </w:rPr>
      </w:pPr>
      <w:r w:rsidRPr="2030048C">
        <w:rPr>
          <w:rFonts w:ascii="Arial" w:eastAsia="Arial" w:hAnsi="Arial" w:cs="Arial"/>
          <w:sz w:val="24"/>
          <w:szCs w:val="24"/>
        </w:rPr>
        <w:t>Periodic review was undertaken at the subject level </w:t>
      </w:r>
    </w:p>
    <w:p w:rsidR="3D0EBCB8" w:rsidRPr="2030048C" w:rsidP="2030048C">
      <w:pPr>
        <w:numPr>
          <w:ilvl w:val="0"/>
          <w:numId w:val="56"/>
        </w:numPr>
        <w:ind w:left="720" w:hanging="360"/>
        <w:jc w:val="left"/>
        <w:rPr>
          <w:rFonts w:ascii="Arial" w:eastAsia="Arial" w:hAnsi="Arial" w:cs="Arial"/>
          <w:sz w:val="24"/>
          <w:szCs w:val="24"/>
        </w:rPr>
      </w:pPr>
      <w:r w:rsidRPr="2030048C">
        <w:rPr>
          <w:rFonts w:ascii="Arial" w:eastAsia="Arial" w:hAnsi="Arial" w:cs="Arial"/>
          <w:sz w:val="24"/>
          <w:szCs w:val="24"/>
        </w:rPr>
        <w:t>Student evaluation </w:t>
      </w:r>
    </w:p>
    <w:p w:rsidR="3D0EBCB8" w:rsidRPr="2030048C" w:rsidP="2030048C">
      <w:pPr>
        <w:numPr>
          <w:ilvl w:val="0"/>
          <w:numId w:val="5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58"/>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58"/>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numPr>
          <w:ilvl w:val="0"/>
          <w:numId w:val="58"/>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Apprenticeship standards</w:t>
      </w:r>
    </w:p>
    <w:p w:rsidRPr="2030048C" w:rsidP="2030048C">
      <w:pPr>
        <w:numPr>
          <w:ilvl w:val="0"/>
          <w:numId w:val="58"/>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82"/>
        <w:gridCol w:w="268"/>
        <w:gridCol w:w="1"/>
        <w:gridCol w:w="677"/>
        <w:gridCol w:w="1"/>
        <w:gridCol w:w="677"/>
        <w:gridCol w:w="1"/>
        <w:gridCol w:w="677"/>
        <w:gridCol w:w="1"/>
        <w:gridCol w:w="677"/>
        <w:gridCol w:w="1"/>
        <w:gridCol w:w="677"/>
        <w:gridCol w:w="1"/>
        <w:gridCol w:w="677"/>
        <w:gridCol w:w="1"/>
        <w:gridCol w:w="677"/>
        <w:gridCol w:w="1"/>
        <w:gridCol w:w="677"/>
        <w:gridCol w:w="1"/>
        <w:gridCol w:w="677"/>
        <w:gridCol w:w="1"/>
        <w:gridCol w:w="677"/>
        <w:gridCol w:w="1"/>
        <w:gridCol w:w="67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PD4101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PD4102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PD4104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PD4103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PD5104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PD5103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PD5101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PD5102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PD6101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PD6102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PD6103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multilevel"/>
    <w:tmpl w:val="74989B2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4989B27"/>
    <w:multiLevelType w:val="hybridMultilevel"/>
    <w:tmpl w:val="74989B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4989B28"/>
    <w:multiLevelType w:val="hybridMultilevel"/>
    <w:tmpl w:val="74989B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4989B29"/>
    <w:multiLevelType w:val="hybridMultilevel"/>
    <w:tmpl w:val="74989B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4989B2A"/>
    <w:multiLevelType w:val="hybridMultilevel"/>
    <w:tmpl w:val="74989B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4989B2B"/>
    <w:multiLevelType w:val="hybridMultilevel"/>
    <w:tmpl w:val="74989B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4989B2C"/>
    <w:multiLevelType w:val="hybridMultilevel"/>
    <w:tmpl w:val="74989B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4989B2D"/>
    <w:multiLevelType w:val="hybridMultilevel"/>
    <w:tmpl w:val="74989B2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4989B2E"/>
    <w:multiLevelType w:val="hybridMultilevel"/>
    <w:tmpl w:val="74989B2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74989B2F"/>
    <w:multiLevelType w:val="hybridMultilevel"/>
    <w:tmpl w:val="74989B2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4989B30"/>
    <w:multiLevelType w:val="hybridMultilevel"/>
    <w:tmpl w:val="74989B3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4989B31"/>
    <w:multiLevelType w:val="hybridMultilevel"/>
    <w:tmpl w:val="74989B3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4989B32"/>
    <w:multiLevelType w:val="hybridMultilevel"/>
    <w:tmpl w:val="74989B3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4989B33"/>
    <w:multiLevelType w:val="hybridMultilevel"/>
    <w:tmpl w:val="74989B3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4989B34"/>
    <w:multiLevelType w:val="hybridMultilevel"/>
    <w:tmpl w:val="74989B3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C6E8C2-7931-483D-9307-F54107E5BA3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