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 Promotion and Communication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Promotion and Communication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UFCCP1CCP20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P993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Communication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Fashion, Knights Park, KSA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with the skills and attributes required for a professional career as a promotion and communication creative in fashion or related industries.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stimulate and incentivise curiosity, enquiry, experimentation, and creative-risk-taking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learning experiences, resources and facilities which support independent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engage students in the co-creation of projects which will challenge and motivate them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engage students in the active development of their individual strengths, interests, and ambitions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opportunities for students to expand their discipline-specific knowledge, by exploring ideas and concepts in depth, and to contribute to the development of their chosen discipline.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PLO2 Challenge contemporary industry practices taking a creative, enterprising, and responsible approach to fashion promotion and communication concepts and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PLO1 Critically analyse evaluate and interpret written and visual information to inform the representation, promotion, communication and recording of fashion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PLO5 Demonstrate proficiency and evaluate practical and technical skills appropriate for Fashion Promotion and Communication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PLO3 Demonstrate a personal, contextual, and critical approach to the Fashion Industry underpinned by current theoretical and business knowledge applicable to Fashion Promotion and Communication.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PLO4 Apply concepts and analysis to complete original, practical projects underpinned by industry theory, personal reflection, contextual and cultural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PLO6 Present and communicate complex material coherently, using a variety of industry relevant and innovative techniques to a specified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PLO8 Demonstrate a professional approach and personal responsibility to codes of conduct, teamwork, and self-management.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PLO9 Synthesise and analyse prior experiences, using critical evaluation to identify areas of strength and gaps in knowledge, demonstrate autonomous learning and advancement.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PLO7 Devise strategies for managing multiple, complex projects with initiative, independence, professionalism, and responsible approaches.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NB: There is a Placement Year Option between L5 and L6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N.B. For the 4-year pathway which includes the opportunity for students to take a full or partial placement year the existing validated modules for Design are :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WP5209, WP5203 and WP5206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Students exiting the course at this point who have successfully completed 120 credits at level 4 or above are eligible for the award of Certificate of Higher Education in </w:t>
      </w:r>
      <w:r w:rsidRPr="2030048C">
        <w:rPr>
          <w:rFonts w:ascii="Arial" w:eastAsia="Arial" w:hAnsi="Arial" w:cs="Arial"/>
          <w:color w:val="000000"/>
          <w:sz w:val="22"/>
          <w:szCs w:val="22"/>
        </w:rPr>
        <w:t>Fashion Promotion and Communication.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Students exiting the programme at this point who have successfully completed 120 credits at level 5 or above are eligible for the award of Diploma of Higher Education in </w:t>
      </w:r>
      <w:r w:rsidRPr="2030048C">
        <w:rPr>
          <w:rFonts w:ascii="Arial" w:eastAsia="Arial" w:hAnsi="Arial" w:cs="Arial"/>
          <w:color w:val="000000"/>
          <w:sz w:val="22"/>
          <w:szCs w:val="22"/>
        </w:rPr>
        <w:t>Fashion Promotion and Communication.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Promotion and Communication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Promotion and Communication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promotion and communication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Image, Text and style: Themes in the History of Fashion Media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course at this point who have successfully completed 120 credits at level 4 or above are eligible for the award of Certificate of Higher Education in </w:t>
      </w:r>
      <w:r w:rsidRPr="2030048C">
        <w:rPr>
          <w:rStyle w:val="normaltextrun"/>
          <w:rFonts w:ascii="Arial" w:eastAsia="Arial" w:hAnsi="Arial" w:cs="Arial"/>
          <w:color w:val="000000"/>
          <w:sz w:val="22"/>
          <w:szCs w:val="22"/>
        </w:rPr>
        <w:t>Fashion Promotion and Communication.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Fashion Promotion and Communication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Fashion Media: Research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Direction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Promotion and Communication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Promotion and Communication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Promotion Campaign (Capstone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Realisation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Showcase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Communication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129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0"/>
        <w:gridCol w:w="235"/>
        <w:gridCol w:w="584"/>
        <w:gridCol w:w="584"/>
        <w:gridCol w:w="601"/>
        <w:gridCol w:w="584"/>
        <w:gridCol w:w="1"/>
        <w:gridCol w:w="583"/>
        <w:gridCol w:w="584"/>
        <w:gridCol w:w="584"/>
        <w:gridCol w:w="601"/>
        <w:gridCol w:w="2"/>
        <w:gridCol w:w="599"/>
        <w:gridCol w:w="584"/>
        <w:gridCol w:w="584"/>
        <w:gridCol w:w="593"/>
        <w:gridCol w:w="58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7460E22-A222-4FA7-86D2-5E644409CE0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