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Fashion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Fashion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Teamwork Education Private Limited (Indian Institute of Art and Design), India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Fashion Design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w:t>
            </w:r>
          </w:p>
          <w:p w:rsidR="31402173" w:rsidRPr="2030048C" w:rsidP="2030048C">
            <w:pPr>
              <w:rPr>
                <w:rFonts w:ascii="Arial" w:eastAsia="Arial" w:hAnsi="Arial" w:cs="Arial"/>
                <w:b w:val="0"/>
                <w:bCs w:val="0"/>
                <w:sz w:val="24"/>
                <w:szCs w:val="24"/>
                <w:lang w:val="en-GB"/>
              </w:rPr>
            </w:pPr>
          </w:p>
          <w:p w:rsidR="31402173" w:rsidRPr="2030048C" w:rsidP="2030048C">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Dip (HE)</w:t>
            </w:r>
          </w:p>
          <w:p w:rsidR="31402173" w:rsidRPr="2030048C" w:rsidP="2030048C">
            <w:pPr>
              <w:rPr>
                <w:rFonts w:ascii="Arial" w:eastAsia="Arial" w:hAnsi="Arial" w:cs="Arial"/>
                <w:b w:val="0"/>
                <w:bCs w:val="0"/>
                <w:sz w:val="24"/>
                <w:szCs w:val="24"/>
                <w:lang w:val="en-GB"/>
              </w:rPr>
            </w:pPr>
          </w:p>
          <w:p w:rsidR="31402173" w:rsidRPr="2030048C" w:rsidP="2030048C">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(Ordinary)</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Teamwork Education Private Limited (Indian Institute of Art and Design), India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IIAD at Okhla, New Delhi, India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pStyle w:val="p"/>
              <w:spacing w:before="0" w:after="0"/>
              <w:ind w:left="0" w:right="0"/>
              <w:jc w:val="both"/>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The minimum entry qualifications for the </w:t>
            </w:r>
            <w:r w:rsidRPr="2030048C">
              <w:rPr>
                <w:rStyle w:val="normaltextrun"/>
                <w:rFonts w:ascii="Arial" w:eastAsia="Arial" w:hAnsi="Arial" w:cs="Arial"/>
                <w:b w:val="0"/>
                <w:bCs w:val="0"/>
                <w:color w:val="000000"/>
                <w:sz w:val="22"/>
                <w:szCs w:val="22"/>
                <w:shd w:val="clear" w:color="auto" w:fill="FFFFFF"/>
              </w:rPr>
              <w:t>programme</w:t>
            </w:r>
            <w:r w:rsidRPr="2030048C">
              <w:rPr>
                <w:rStyle w:val="normaltextrun"/>
                <w:rFonts w:ascii="Arial" w:eastAsia="Arial" w:hAnsi="Arial" w:cs="Arial"/>
                <w:b w:val="0"/>
                <w:bCs w:val="0"/>
                <w:color w:val="000000"/>
                <w:sz w:val="22"/>
                <w:szCs w:val="22"/>
                <w:shd w:val="clear" w:color="auto" w:fill="FFFFFF"/>
              </w:rPr>
              <w:t xml:space="preserve"> are:</w:t>
            </w:r>
          </w:p>
          <w:p w:rsidRPr="2030048C" w:rsidP="2030048C">
            <w:pPr>
              <w:pStyle w:val="p"/>
              <w:spacing w:before="0" w:after="0"/>
              <w:ind w:left="0" w:right="0"/>
              <w:jc w:val="both"/>
              <w:rPr>
                <w:rStyle w:val="normaltextrun"/>
                <w:rFonts w:ascii="Arial" w:eastAsia="Arial" w:hAnsi="Arial" w:cs="Arial"/>
                <w:b w:val="0"/>
                <w:bCs w:val="0"/>
                <w:color w:val="000000"/>
                <w:sz w:val="22"/>
                <w:szCs w:val="22"/>
                <w:shd w:val="clear" w:color="auto" w:fill="FFFFFF"/>
              </w:rPr>
            </w:pPr>
          </w:p>
          <w:p w:rsidRPr="2030048C" w:rsidP="2030048C">
            <w:pPr>
              <w:pStyle w:val="li"/>
              <w:numPr>
                <w:ilvl w:val="0"/>
                <w:numId w:val="12"/>
              </w:numPr>
              <w:pBdr>
                <w:left w:val="none" w:sz="0" w:space="7" w:color="auto"/>
              </w:pBdr>
              <w:spacing w:before="0" w:after="0"/>
              <w:ind w:left="360" w:right="0" w:hanging="519"/>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Foundation Diploma in Design from IIAD </w:t>
            </w:r>
          </w:p>
          <w:p w:rsidRPr="2030048C" w:rsidP="2030048C">
            <w:pPr>
              <w:pStyle w:val="ListParagraph0"/>
              <w:spacing w:before="0" w:after="0"/>
              <w:ind w:left="360" w:right="0"/>
              <w:jc w:val="both"/>
              <w:rPr>
                <w:rStyle w:val="normaltextrun"/>
                <w:rFonts w:ascii="Cambria" w:eastAsia="Cambria" w:hAnsi="Cambria" w:cs="Cambria"/>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Or</w:t>
            </w:r>
            <w:r w:rsidRPr="2030048C">
              <w:rPr>
                <w:rStyle w:val="normaltextrun"/>
                <w:rFonts w:ascii="Arial" w:eastAsia="Arial" w:hAnsi="Arial" w:cs="Arial"/>
                <w:b w:val="0"/>
                <w:bCs w:val="0"/>
                <w:color w:val="000000"/>
                <w:sz w:val="22"/>
                <w:szCs w:val="22"/>
                <w:shd w:val="clear" w:color="auto" w:fill="FFFFFF"/>
              </w:rPr>
              <w:t xml:space="preserve"> </w:t>
            </w:r>
          </w:p>
          <w:p w:rsidRPr="2030048C" w:rsidP="2030048C">
            <w:pPr>
              <w:pStyle w:val="li"/>
              <w:numPr>
                <w:ilvl w:val="0"/>
                <w:numId w:val="13"/>
              </w:numPr>
              <w:pBdr>
                <w:left w:val="none" w:sz="0" w:space="7" w:color="auto"/>
              </w:pBdr>
              <w:spacing w:before="0" w:after="0"/>
              <w:ind w:left="360" w:right="0" w:hanging="519"/>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Equivalent</w:t>
            </w:r>
            <w:r w:rsidRPr="2030048C">
              <w:rPr>
                <w:rStyle w:val="normaltextrun"/>
                <w:rFonts w:ascii="Arial" w:eastAsia="Arial" w:hAnsi="Arial" w:cs="Arial"/>
                <w:b w:val="0"/>
                <w:bCs w:val="0"/>
                <w:color w:val="000000"/>
                <w:sz w:val="22"/>
                <w:szCs w:val="22"/>
                <w:shd w:val="clear" w:color="auto" w:fill="FFFFFF"/>
              </w:rPr>
              <w:t xml:space="preserve"> Foundation Diploma from </w:t>
            </w:r>
            <w:r w:rsidRPr="2030048C">
              <w:rPr>
                <w:rStyle w:val="normaltextrun"/>
                <w:rFonts w:ascii="Arial" w:eastAsia="Arial" w:hAnsi="Arial" w:cs="Arial"/>
                <w:b w:val="0"/>
                <w:bCs w:val="0"/>
                <w:color w:val="000000"/>
                <w:sz w:val="22"/>
                <w:szCs w:val="22"/>
                <w:shd w:val="clear" w:color="auto" w:fill="FFFFFF"/>
              </w:rPr>
              <w:t xml:space="preserve">other </w:t>
            </w:r>
            <w:r w:rsidRPr="2030048C">
              <w:rPr>
                <w:rStyle w:val="normaltextrun"/>
                <w:rFonts w:ascii="Arial" w:eastAsia="Arial" w:hAnsi="Arial" w:cs="Arial"/>
                <w:b w:val="0"/>
                <w:bCs w:val="0"/>
                <w:color w:val="000000"/>
                <w:sz w:val="22"/>
                <w:szCs w:val="22"/>
                <w:shd w:val="clear" w:color="auto" w:fill="FFFFFF"/>
              </w:rPr>
              <w:t>recognised I</w:t>
            </w:r>
            <w:r w:rsidRPr="2030048C">
              <w:rPr>
                <w:rStyle w:val="normaltextrun"/>
                <w:rFonts w:ascii="Arial" w:eastAsia="Arial" w:hAnsi="Arial" w:cs="Arial"/>
                <w:b w:val="0"/>
                <w:bCs w:val="0"/>
                <w:color w:val="000000"/>
                <w:sz w:val="22"/>
                <w:szCs w:val="22"/>
                <w:shd w:val="clear" w:color="auto" w:fill="FFFFFF"/>
              </w:rPr>
              <w:t>nstitutes (</w:t>
            </w:r>
            <w:r w:rsidRPr="2030048C">
              <w:rPr>
                <w:rStyle w:val="normaltextrun"/>
                <w:rFonts w:ascii="Arial" w:eastAsia="Arial" w:hAnsi="Arial" w:cs="Arial"/>
                <w:b w:val="0"/>
                <w:bCs w:val="0"/>
                <w:color w:val="000000"/>
                <w:sz w:val="22"/>
                <w:szCs w:val="22"/>
                <w:shd w:val="clear" w:color="auto" w:fill="FFFFFF"/>
              </w:rPr>
              <w:t>Qualified applicants will be selected accord</w:t>
            </w:r>
            <w:r w:rsidRPr="2030048C">
              <w:rPr>
                <w:rStyle w:val="normaltextrun"/>
                <w:rFonts w:ascii="Arial" w:eastAsia="Arial" w:hAnsi="Arial" w:cs="Arial"/>
                <w:b w:val="0"/>
                <w:bCs w:val="0"/>
                <w:color w:val="000000"/>
                <w:sz w:val="22"/>
                <w:szCs w:val="22"/>
                <w:shd w:val="clear" w:color="auto" w:fill="FFFFFF"/>
              </w:rPr>
              <w:t xml:space="preserve">ing to their performance in the </w:t>
            </w:r>
            <w:r w:rsidRPr="2030048C">
              <w:rPr>
                <w:rStyle w:val="normaltextrun"/>
                <w:rFonts w:ascii="Arial" w:eastAsia="Arial" w:hAnsi="Arial" w:cs="Arial"/>
                <w:b w:val="0"/>
                <w:bCs w:val="0"/>
                <w:color w:val="000000"/>
                <w:sz w:val="22"/>
                <w:szCs w:val="22"/>
                <w:shd w:val="clear" w:color="auto" w:fill="FFFFFF"/>
              </w:rPr>
              <w:t>personal</w:t>
            </w:r>
            <w:r w:rsidRPr="2030048C">
              <w:rPr>
                <w:rStyle w:val="normaltextrun"/>
                <w:rFonts w:ascii="Arial" w:eastAsia="Arial" w:hAnsi="Arial" w:cs="Arial"/>
                <w:b w:val="0"/>
                <w:bCs w:val="0"/>
                <w:color w:val="000000"/>
                <w:sz w:val="22"/>
                <w:szCs w:val="22"/>
                <w:shd w:val="clear" w:color="auto" w:fill="FFFFFF"/>
              </w:rPr>
              <w:t xml:space="preserve"> interview and portfolio review).</w:t>
            </w:r>
          </w:p>
          <w:p w:rsidRPr="2030048C" w:rsidP="2030048C">
            <w:pPr>
              <w:pStyle w:val="Body"/>
              <w:numPr>
                <w:ilvl w:val="0"/>
                <w:numId w:val="13"/>
              </w:numPr>
              <w:pBdr>
                <w:left w:val="none" w:sz="0" w:space="7" w:color="auto"/>
              </w:pBdr>
              <w:spacing w:before="0" w:after="0"/>
              <w:ind w:left="360" w:right="0" w:hanging="519"/>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Students whose prior education has not been in the English Medium </w:t>
            </w:r>
            <w:r w:rsidRPr="2030048C">
              <w:rPr>
                <w:rStyle w:val="normaltextrun"/>
                <w:rFonts w:ascii="Arial" w:eastAsia="Arial" w:hAnsi="Arial" w:cs="Arial"/>
                <w:b w:val="0"/>
                <w:bCs w:val="0"/>
                <w:color w:val="000000"/>
                <w:sz w:val="22"/>
                <w:szCs w:val="22"/>
                <w:shd w:val="clear" w:color="auto" w:fill="FFFFFF"/>
              </w:rPr>
              <w:t>will require an IELTS score of 6</w:t>
            </w:r>
            <w:r w:rsidRPr="2030048C">
              <w:rPr>
                <w:rStyle w:val="normaltextrun"/>
                <w:rFonts w:ascii="Arial" w:eastAsia="Arial" w:hAnsi="Arial" w:cs="Arial"/>
                <w:b w:val="0"/>
                <w:bCs w:val="0"/>
                <w:color w:val="000000"/>
                <w:sz w:val="22"/>
                <w:szCs w:val="22"/>
                <w:shd w:val="clear" w:color="auto" w:fill="FFFFFF"/>
              </w:rPr>
              <w:t>.0 or equivalent</w:t>
            </w:r>
            <w:r w:rsidRPr="2030048C">
              <w:rPr>
                <w:rStyle w:val="normaltextrun"/>
                <w:rFonts w:ascii="Arial" w:eastAsia="Arial" w:hAnsi="Arial" w:cs="Arial"/>
                <w:b w:val="0"/>
                <w:bCs w:val="0"/>
                <w:color w:val="000000"/>
                <w:sz w:val="22"/>
                <w:szCs w:val="22"/>
                <w:shd w:val="clear" w:color="auto" w:fill="FFFFFF"/>
              </w:rPr>
              <w:t xml:space="preserve">.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bCs/>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jc w:val="both"/>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spacing w:before="0" w:after="0"/>
        <w:ind w:left="0" w:right="0"/>
        <w:jc w:val="both"/>
        <w:rPr>
          <w:rStyle w:val="normaltextrun"/>
          <w:rFonts w:ascii="Arial" w:eastAsia="Arial" w:hAnsi="Arial" w:cs="Arial"/>
          <w:color w:val="000000" w:themeColor="text1"/>
          <w:sz w:val="22"/>
          <w:szCs w:val="22"/>
          <w:shd w:val="clear" w:color="auto" w:fill="FFFFFF"/>
        </w:rPr>
      </w:pPr>
    </w:p>
    <w:p w:rsidRPr="2030048C" w:rsidP="2030048C">
      <w:pPr>
        <w:pStyle w:val="p0"/>
        <w:spacing w:before="0" w:after="0"/>
        <w:ind w:left="0" w:right="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The main aims of the </w:t>
      </w:r>
      <w:r w:rsidRPr="2030048C">
        <w:rPr>
          <w:rStyle w:val="normaltextrun"/>
          <w:rFonts w:ascii="Arial" w:eastAsia="Arial" w:hAnsi="Arial" w:cs="Arial"/>
          <w:color w:val="000000" w:themeColor="text1"/>
          <w:sz w:val="22"/>
          <w:szCs w:val="22"/>
          <w:shd w:val="clear" w:color="auto" w:fill="FFFFFF"/>
        </w:rPr>
        <w:t>program</w:t>
      </w:r>
      <w:r w:rsidRPr="2030048C">
        <w:rPr>
          <w:rStyle w:val="normaltextrun"/>
          <w:rFonts w:ascii="Arial" w:eastAsia="Arial" w:hAnsi="Arial" w:cs="Arial"/>
          <w:color w:val="000000" w:themeColor="text1"/>
          <w:sz w:val="22"/>
          <w:szCs w:val="22"/>
          <w:shd w:val="clear" w:color="auto" w:fill="FFFFFF"/>
        </w:rPr>
        <w:t>me</w:t>
      </w:r>
      <w:r w:rsidRPr="2030048C">
        <w:rPr>
          <w:rStyle w:val="normaltextrun"/>
          <w:rFonts w:ascii="Arial" w:eastAsia="Arial" w:hAnsi="Arial" w:cs="Arial"/>
          <w:color w:val="000000" w:themeColor="text1"/>
          <w:sz w:val="22"/>
          <w:szCs w:val="22"/>
          <w:shd w:val="clear" w:color="auto" w:fill="FFFFFF"/>
        </w:rPr>
        <w:t xml:space="preserve"> are:</w:t>
      </w:r>
    </w:p>
    <w:p w:rsidRPr="2030048C" w:rsidP="2030048C">
      <w:pPr>
        <w:pStyle w:val="p0"/>
        <w:spacing w:before="0" w:after="0"/>
        <w:ind w:left="0" w:right="0"/>
        <w:jc w:val="both"/>
        <w:rPr>
          <w:rStyle w:val="normaltextrun"/>
          <w:rFonts w:ascii="Arial" w:eastAsia="Arial" w:hAnsi="Arial" w:cs="Arial"/>
          <w:color w:val="000000" w:themeColor="text1"/>
          <w:sz w:val="22"/>
          <w:szCs w:val="22"/>
          <w:shd w:val="clear" w:color="auto" w:fill="FFFFFF"/>
        </w:rPr>
      </w:pPr>
    </w:p>
    <w:p w:rsidRPr="2030048C" w:rsidP="2030048C">
      <w:pPr>
        <w:pStyle w:val="ListParagraph00"/>
        <w:numPr>
          <w:ilvl w:val="0"/>
          <w:numId w:val="14"/>
        </w:numPr>
        <w:pBdr>
          <w:left w:val="none" w:sz="0" w:space="7" w:color="auto"/>
        </w:pBdr>
        <w:spacing w:before="0" w:after="0"/>
        <w:ind w:left="426"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prepare students for sustainable professional employment in the design industries.</w:t>
      </w:r>
    </w:p>
    <w:p w:rsidRPr="2030048C" w:rsidP="2030048C">
      <w:pPr>
        <w:pStyle w:val="li0"/>
        <w:numPr>
          <w:ilvl w:val="0"/>
          <w:numId w:val="14"/>
        </w:numPr>
        <w:pBdr>
          <w:left w:val="none" w:sz="0" w:space="7" w:color="auto"/>
        </w:pBdr>
        <w:spacing w:before="0" w:after="0"/>
        <w:ind w:left="426"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foster an understanding of Design as forms of meaning making situated within questions of technology, ideology, history, politics, culture, identity, and, importantly, economics.</w:t>
      </w:r>
    </w:p>
    <w:p w:rsidRPr="2030048C" w:rsidP="2030048C">
      <w:pPr>
        <w:pStyle w:val="li0"/>
        <w:numPr>
          <w:ilvl w:val="0"/>
          <w:numId w:val="14"/>
        </w:numPr>
        <w:pBdr>
          <w:left w:val="none" w:sz="0" w:space="7" w:color="auto"/>
        </w:pBdr>
        <w:spacing w:before="0" w:after="0"/>
        <w:ind w:left="426"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foster an environment wherein Design is seen not as finite, autonomous pre-given domain but rather a terrain that emerges through consta</w:t>
      </w:r>
      <w:r w:rsidRPr="2030048C">
        <w:rPr>
          <w:rStyle w:val="normaltextrun"/>
          <w:rFonts w:ascii="Arial" w:eastAsia="Arial" w:hAnsi="Arial" w:cs="Arial"/>
          <w:color w:val="000000" w:themeColor="text1"/>
          <w:sz w:val="22"/>
          <w:szCs w:val="22"/>
          <w:shd w:val="clear" w:color="auto" w:fill="FFFFFF"/>
        </w:rPr>
        <w:t>ntly interpretative acts of negotiation, production, and presentation</w:t>
      </w:r>
      <w:r w:rsidRPr="2030048C">
        <w:rPr>
          <w:rStyle w:val="normaltextrun"/>
          <w:rFonts w:ascii="Arial" w:eastAsia="Arial" w:hAnsi="Arial" w:cs="Arial"/>
          <w:color w:val="000000" w:themeColor="text1"/>
          <w:sz w:val="22"/>
          <w:szCs w:val="22"/>
          <w:shd w:val="clear" w:color="auto" w:fill="FFFFFF"/>
        </w:rPr>
        <w:t xml:space="preserve"> by multiple agents at work. </w:t>
      </w:r>
    </w:p>
    <w:p w:rsidRPr="2030048C" w:rsidP="2030048C">
      <w:pPr>
        <w:pStyle w:val="li0"/>
        <w:numPr>
          <w:ilvl w:val="0"/>
          <w:numId w:val="14"/>
        </w:numPr>
        <w:pBdr>
          <w:left w:val="none" w:sz="0" w:space="7" w:color="auto"/>
        </w:pBdr>
        <w:spacing w:before="0" w:after="0"/>
        <w:ind w:left="426"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To provide an intellectual framework to students that eschews binary modes of thinking that constantly opposes experts to laymen, education to practice, </w:t>
      </w:r>
      <w:r w:rsidRPr="2030048C">
        <w:rPr>
          <w:rStyle w:val="normaltextrun"/>
          <w:rFonts w:ascii="Arial" w:eastAsia="Arial" w:hAnsi="Arial" w:cs="Arial"/>
          <w:color w:val="000000" w:themeColor="text1"/>
          <w:sz w:val="22"/>
          <w:szCs w:val="22"/>
          <w:shd w:val="clear" w:color="auto" w:fill="FFFFFF"/>
        </w:rPr>
        <w:t>entrepreneur</w:t>
      </w:r>
      <w:r w:rsidRPr="2030048C">
        <w:rPr>
          <w:rStyle w:val="normaltextrun"/>
          <w:rFonts w:ascii="Arial" w:eastAsia="Arial" w:hAnsi="Arial" w:cs="Arial"/>
          <w:color w:val="000000" w:themeColor="text1"/>
          <w:sz w:val="22"/>
          <w:szCs w:val="22"/>
          <w:shd w:val="clear" w:color="auto" w:fill="FFFFFF"/>
        </w:rPr>
        <w:t>i</w:t>
      </w:r>
      <w:r w:rsidRPr="2030048C">
        <w:rPr>
          <w:rStyle w:val="normaltextrun"/>
          <w:rFonts w:ascii="Arial" w:eastAsia="Arial" w:hAnsi="Arial" w:cs="Arial"/>
          <w:color w:val="000000" w:themeColor="text1"/>
          <w:sz w:val="22"/>
          <w:szCs w:val="22"/>
          <w:shd w:val="clear" w:color="auto" w:fill="FFFFFF"/>
        </w:rPr>
        <w:t>ality</w:t>
      </w:r>
      <w:r w:rsidRPr="2030048C">
        <w:rPr>
          <w:rStyle w:val="normaltextrun"/>
          <w:rFonts w:ascii="Arial" w:eastAsia="Arial" w:hAnsi="Arial" w:cs="Arial"/>
          <w:color w:val="000000" w:themeColor="text1"/>
          <w:sz w:val="22"/>
          <w:szCs w:val="22"/>
          <w:shd w:val="clear" w:color="auto" w:fill="FFFFFF"/>
        </w:rPr>
        <w:t xml:space="preserve"> to criticality, theory to practicality; thinking to doing/making and so on.</w:t>
      </w:r>
    </w:p>
    <w:p w:rsidRPr="2030048C" w:rsidP="2030048C">
      <w:pPr>
        <w:pStyle w:val="li0"/>
        <w:numPr>
          <w:ilvl w:val="0"/>
          <w:numId w:val="14"/>
        </w:numPr>
        <w:pBdr>
          <w:left w:val="none" w:sz="0" w:space="7" w:color="auto"/>
        </w:pBdr>
        <w:spacing w:before="0" w:after="0"/>
        <w:ind w:left="426"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provide students with a multidisciplinary, i</w:t>
      </w:r>
      <w:r w:rsidRPr="2030048C">
        <w:rPr>
          <w:rStyle w:val="normaltextrun"/>
          <w:rFonts w:ascii="Arial" w:eastAsia="Arial" w:hAnsi="Arial" w:cs="Arial"/>
          <w:color w:val="000000" w:themeColor="text1"/>
          <w:sz w:val="22"/>
          <w:szCs w:val="22"/>
          <w:shd w:val="clear" w:color="auto" w:fill="FFFFFF"/>
        </w:rPr>
        <w:t>ntellectually rigorous and open-</w:t>
      </w:r>
      <w:r w:rsidRPr="2030048C">
        <w:rPr>
          <w:rStyle w:val="normaltextrun"/>
          <w:rFonts w:ascii="Arial" w:eastAsia="Arial" w:hAnsi="Arial" w:cs="Arial"/>
          <w:color w:val="000000" w:themeColor="text1"/>
          <w:sz w:val="22"/>
          <w:szCs w:val="22"/>
          <w:shd w:val="clear" w:color="auto" w:fill="FFFFFF"/>
        </w:rPr>
        <w:t>ended environment where they can chart their own trajectories thereby reproducing themselves as critical and self-reflexive design practitioners.</w:t>
      </w:r>
    </w:p>
    <w:p w:rsidRPr="2030048C" w:rsidP="2030048C">
      <w:pPr>
        <w:pStyle w:val="li0"/>
        <w:numPr>
          <w:ilvl w:val="0"/>
          <w:numId w:val="14"/>
        </w:numPr>
        <w:pBdr>
          <w:left w:val="none" w:sz="0" w:space="7" w:color="auto"/>
        </w:pBdr>
        <w:spacing w:before="0" w:after="0"/>
        <w:ind w:left="426"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enable students to develop specialist skills and knowledges which are specific to their chosen discipline.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development of problem solving skills through research, explorations, critical analysis, and subsequent development of creative solutions within a professional, contextual and ethical framework with team skills. (Professional)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recognise the cultural, conceptual and professional contexts relevant to the evaluation and understanding of their work. (Thoughtful)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individual creativity, inventiveness, personal expression and technical competence, using the practical skills necessary to critically evaluate, realise and coherently communicate ideas in appropriate media suitable for portfolio. (Creative)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an understanding of the national and international contexts of design practices. (Globally Aware)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a professional level of individual creativity, vision, personal expression and intellectual ability to enable students to practise successfully in design. (Creative and Proactive)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advanced understanding of new and future methods, materials, agile processes and technologies, appropriate to the chosen discipline. (Resilient)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relationships between multiple contexts within which design is situated. These include but are not limited to theory, technology, ideology, history, politics, culture, identity and economics. (Globally Aware)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 intellectual framework, which eschews binary modes of thinking, and instead engages with a learner-centric philosophy. (Thoughtful)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entrepreneurialism with an advanced level of practical understanding and technical competence (whether in traditional or digital technology in design) to enable them to practice successfully in the profession. (Proactive)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engage with the terrain of design and design specialisms through interpretative and immersive methods. (Thoughtful)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their own personal position with regard to the practice at large, and demonstrate an ability to merge seamlessly into the practice of their choosing with confidence. (Resilient)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 critical understanding of specialist design practices impact on culture, society and the environment, including an appropriate knowledge of the application of materials and processes. (Proactive)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lang w:val="en-GB"/>
        </w:rPr>
      </w:pPr>
      <w:r w:rsidRPr="2030048C">
        <w:rPr>
          <w:rFonts w:ascii="Times New Roman" w:eastAsia="Times New Roman" w:hAnsi="Times New Roman" w:cs="Times New Roman"/>
          <w:color w:val="000000" w:themeColor="text1" w:themeShade="FF" w:themeTint="FF"/>
          <w:sz w:val="24"/>
          <w:szCs w:val="24"/>
        </w:rPr>
        <w:br/>
      </w:r>
    </w:p>
    <w:p w:rsidRPr="2030048C" w:rsidP="2030048C">
      <w:pPr>
        <w:pStyle w:val="p"/>
        <w:spacing w:before="0" w:after="0"/>
        <w:ind w:left="360" w:right="0"/>
        <w:jc w:val="both"/>
        <w:rPr>
          <w:rFonts w:ascii="Arial" w:eastAsia="Arial" w:hAnsi="Arial" w:cs="Arial"/>
          <w:color w:val="000000" w:themeColor="text1" w:themeShade="FF" w:themeTint="FF"/>
          <w:sz w:val="22"/>
          <w:szCs w:val="22"/>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 xml:space="preserve">The </w:t>
      </w:r>
      <w:r w:rsidRPr="2030048C">
        <w:rPr>
          <w:rFonts w:ascii="Arial" w:eastAsia="Arial" w:hAnsi="Arial" w:cs="Arial"/>
          <w:color w:val="000000" w:themeColor="text1" w:themeShade="FF" w:themeTint="FF"/>
          <w:sz w:val="22"/>
          <w:szCs w:val="22"/>
        </w:rPr>
        <w:t>p</w:t>
      </w:r>
      <w:r w:rsidRPr="2030048C">
        <w:rPr>
          <w:rFonts w:ascii="Arial" w:eastAsia="Arial" w:hAnsi="Arial" w:cs="Arial"/>
          <w:color w:val="000000" w:themeColor="text1" w:themeShade="FF" w:themeTint="FF"/>
          <w:sz w:val="22"/>
          <w:szCs w:val="22"/>
        </w:rPr>
        <w:t xml:space="preserve">rogramme </w:t>
      </w:r>
      <w:r w:rsidRPr="2030048C">
        <w:rPr>
          <w:rFonts w:ascii="Arial" w:eastAsia="Arial" w:hAnsi="Arial" w:cs="Arial"/>
          <w:color w:val="000000" w:themeColor="text1" w:themeShade="FF" w:themeTint="FF"/>
          <w:sz w:val="22"/>
          <w:szCs w:val="22"/>
        </w:rPr>
        <w:t>s</w:t>
      </w:r>
      <w:r w:rsidRPr="2030048C">
        <w:rPr>
          <w:rFonts w:ascii="Arial" w:eastAsia="Arial" w:hAnsi="Arial" w:cs="Arial"/>
          <w:color w:val="000000" w:themeColor="text1" w:themeShade="FF" w:themeTint="FF"/>
          <w:sz w:val="22"/>
          <w:szCs w:val="22"/>
        </w:rPr>
        <w:t xml:space="preserve">tructure </w:t>
      </w:r>
      <w:r w:rsidRPr="2030048C">
        <w:rPr>
          <w:rFonts w:ascii="Arial" w:eastAsia="Arial" w:hAnsi="Arial" w:cs="Arial"/>
          <w:color w:val="000000" w:themeColor="text1" w:themeShade="FF" w:themeTint="FF"/>
          <w:sz w:val="22"/>
          <w:szCs w:val="22"/>
        </w:rPr>
        <w:t>is</w:t>
      </w:r>
      <w:r w:rsidRPr="2030048C">
        <w:rPr>
          <w:rFonts w:ascii="Arial" w:eastAsia="Arial" w:hAnsi="Arial" w:cs="Arial"/>
          <w:color w:val="000000" w:themeColor="text1" w:themeShade="FF" w:themeTint="FF"/>
          <w:sz w:val="22"/>
          <w:szCs w:val="22"/>
        </w:rPr>
        <w:t xml:space="preserve"> common </w:t>
      </w:r>
      <w:r w:rsidRPr="2030048C">
        <w:rPr>
          <w:rFonts w:ascii="Arial" w:eastAsia="Arial" w:hAnsi="Arial" w:cs="Arial"/>
          <w:color w:val="000000" w:themeColor="text1" w:themeShade="FF" w:themeTint="FF"/>
          <w:sz w:val="22"/>
          <w:szCs w:val="22"/>
        </w:rPr>
        <w:t>to all three courses,</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 xml:space="preserve">reflecting </w:t>
      </w:r>
      <w:r w:rsidRPr="2030048C">
        <w:rPr>
          <w:rFonts w:ascii="Arial" w:eastAsia="Arial" w:hAnsi="Arial" w:cs="Arial"/>
          <w:color w:val="000000" w:themeColor="text1" w:themeShade="FF" w:themeTint="FF"/>
          <w:sz w:val="22"/>
          <w:szCs w:val="22"/>
        </w:rPr>
        <w:t>the</w:t>
      </w:r>
      <w:r w:rsidRPr="2030048C">
        <w:rPr>
          <w:rFonts w:ascii="Arial" w:eastAsia="Arial" w:hAnsi="Arial" w:cs="Arial"/>
          <w:color w:val="000000" w:themeColor="text1" w:themeShade="FF" w:themeTint="FF"/>
          <w:sz w:val="22"/>
          <w:szCs w:val="22"/>
        </w:rPr>
        <w:t xml:space="preserve"> belief that</w:t>
      </w:r>
      <w:r w:rsidRPr="2030048C">
        <w:rPr>
          <w:rFonts w:ascii="Arial" w:eastAsia="Arial" w:hAnsi="Arial" w:cs="Arial"/>
          <w:color w:val="000000" w:themeColor="text1" w:themeShade="FF" w:themeTint="FF"/>
          <w:sz w:val="22"/>
          <w:szCs w:val="22"/>
        </w:rPr>
        <w:t>,</w:t>
      </w:r>
      <w:r w:rsidRPr="2030048C">
        <w:rPr>
          <w:rFonts w:ascii="Arial" w:eastAsia="Arial" w:hAnsi="Arial" w:cs="Arial"/>
          <w:color w:val="000000" w:themeColor="text1" w:themeShade="FF" w:themeTint="FF"/>
          <w:sz w:val="22"/>
          <w:szCs w:val="22"/>
        </w:rPr>
        <w:t xml:space="preserve"> irrespective of disciplinary specificities</w:t>
      </w:r>
      <w:r w:rsidRPr="2030048C">
        <w:rPr>
          <w:rFonts w:ascii="Arial" w:eastAsia="Arial" w:hAnsi="Arial" w:cs="Arial"/>
          <w:color w:val="000000" w:themeColor="text1" w:themeShade="FF" w:themeTint="FF"/>
          <w:sz w:val="22"/>
          <w:szCs w:val="22"/>
        </w:rPr>
        <w:t>,</w:t>
      </w:r>
      <w:r w:rsidRPr="2030048C">
        <w:rPr>
          <w:rFonts w:ascii="Arial" w:eastAsia="Arial" w:hAnsi="Arial" w:cs="Arial"/>
          <w:color w:val="000000" w:themeColor="text1" w:themeShade="FF" w:themeTint="FF"/>
          <w:sz w:val="22"/>
          <w:szCs w:val="22"/>
        </w:rPr>
        <w:t xml:space="preserve"> any act of design is always </w:t>
      </w:r>
      <w:r w:rsidRPr="2030048C">
        <w:rPr>
          <w:rFonts w:ascii="Arial" w:eastAsia="Arial" w:hAnsi="Arial" w:cs="Arial"/>
          <w:color w:val="000000" w:themeColor="text1" w:themeShade="FF" w:themeTint="FF"/>
          <w:sz w:val="22"/>
          <w:szCs w:val="22"/>
        </w:rPr>
        <w:t>rooted</w:t>
      </w:r>
      <w:r w:rsidRPr="2030048C">
        <w:rPr>
          <w:rFonts w:ascii="Arial" w:eastAsia="Arial" w:hAnsi="Arial" w:cs="Arial"/>
          <w:color w:val="000000" w:themeColor="text1" w:themeShade="FF" w:themeTint="FF"/>
          <w:sz w:val="22"/>
          <w:szCs w:val="22"/>
        </w:rPr>
        <w:t xml:space="preserve"> within questions of Context, Design Processes, Design </w:t>
      </w:r>
      <w:r w:rsidRPr="2030048C">
        <w:rPr>
          <w:rFonts w:ascii="Arial" w:eastAsia="Arial" w:hAnsi="Arial" w:cs="Arial"/>
          <w:color w:val="000000" w:themeColor="text1" w:themeShade="FF" w:themeTint="FF"/>
          <w:sz w:val="22"/>
          <w:szCs w:val="22"/>
        </w:rPr>
        <w:t>R</w:t>
      </w:r>
      <w:r w:rsidRPr="2030048C">
        <w:rPr>
          <w:rFonts w:ascii="Arial" w:eastAsia="Arial" w:hAnsi="Arial" w:cs="Arial"/>
          <w:color w:val="000000" w:themeColor="text1" w:themeShade="FF" w:themeTint="FF"/>
          <w:sz w:val="22"/>
          <w:szCs w:val="22"/>
        </w:rPr>
        <w:t>ealization and Personal &amp; Professional</w:t>
      </w:r>
      <w:r w:rsidRPr="2030048C">
        <w:rPr>
          <w:rFonts w:ascii="Arial" w:eastAsia="Arial" w:hAnsi="Arial" w:cs="Arial"/>
          <w:color w:val="000000" w:themeColor="text1" w:themeShade="FF" w:themeTint="FF"/>
          <w:sz w:val="22"/>
          <w:szCs w:val="22"/>
        </w:rPr>
        <w:t xml:space="preserve"> Development.</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 xml:space="preserve">This commonality engenders </w:t>
      </w:r>
      <w:r w:rsidRPr="2030048C">
        <w:rPr>
          <w:rFonts w:ascii="Arial" w:eastAsia="Arial" w:hAnsi="Arial" w:cs="Arial"/>
          <w:color w:val="000000" w:themeColor="text1" w:themeShade="FF" w:themeTint="FF"/>
          <w:sz w:val="22"/>
          <w:szCs w:val="22"/>
        </w:rPr>
        <w:t>the development</w:t>
      </w:r>
      <w:r w:rsidRPr="2030048C">
        <w:rPr>
          <w:rFonts w:ascii="Arial" w:eastAsia="Arial" w:hAnsi="Arial" w:cs="Arial"/>
          <w:color w:val="000000" w:themeColor="text1" w:themeShade="FF" w:themeTint="FF"/>
          <w:sz w:val="22"/>
          <w:szCs w:val="22"/>
        </w:rPr>
        <w:t xml:space="preserve"> of </w:t>
      </w:r>
      <w:r w:rsidRPr="2030048C">
        <w:rPr>
          <w:rFonts w:ascii="Arial" w:eastAsia="Arial" w:hAnsi="Arial" w:cs="Arial"/>
          <w:color w:val="000000" w:themeColor="text1" w:themeShade="FF" w:themeTint="FF"/>
          <w:sz w:val="22"/>
          <w:szCs w:val="22"/>
        </w:rPr>
        <w:t>interdisciplinary</w:t>
      </w:r>
      <w:r w:rsidRPr="2030048C">
        <w:rPr>
          <w:rFonts w:ascii="Arial" w:eastAsia="Arial" w:hAnsi="Arial" w:cs="Arial"/>
          <w:color w:val="000000" w:themeColor="text1" w:themeShade="FF" w:themeTint="FF"/>
          <w:sz w:val="22"/>
          <w:szCs w:val="22"/>
        </w:rPr>
        <w:t xml:space="preserve"> learning</w:t>
      </w:r>
      <w:r w:rsidRPr="2030048C">
        <w:rPr>
          <w:rFonts w:ascii="Arial" w:eastAsia="Arial" w:hAnsi="Arial" w:cs="Arial"/>
          <w:color w:val="000000" w:themeColor="text1" w:themeShade="FF" w:themeTint="FF"/>
          <w:sz w:val="22"/>
          <w:szCs w:val="22"/>
        </w:rPr>
        <w:t>.</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The</w:t>
      </w:r>
      <w:r w:rsidRPr="2030048C">
        <w:rPr>
          <w:rFonts w:ascii="Arial" w:eastAsia="Arial" w:hAnsi="Arial" w:cs="Arial"/>
          <w:color w:val="000000" w:themeColor="text1" w:themeShade="FF" w:themeTint="FF"/>
          <w:sz w:val="22"/>
          <w:szCs w:val="22"/>
        </w:rPr>
        <w:t xml:space="preserve"> emphasis</w:t>
      </w:r>
      <w:r w:rsidRPr="2030048C">
        <w:rPr>
          <w:rFonts w:ascii="Arial" w:eastAsia="Arial" w:hAnsi="Arial" w:cs="Arial"/>
          <w:color w:val="000000" w:themeColor="text1" w:themeShade="FF" w:themeTint="FF"/>
          <w:sz w:val="22"/>
          <w:szCs w:val="22"/>
        </w:rPr>
        <w:t xml:space="preserve"> is</w:t>
      </w:r>
      <w:r w:rsidRPr="2030048C">
        <w:rPr>
          <w:rFonts w:ascii="Arial" w:eastAsia="Arial" w:hAnsi="Arial" w:cs="Arial"/>
          <w:color w:val="000000" w:themeColor="text1" w:themeShade="FF" w:themeTint="FF"/>
          <w:sz w:val="22"/>
          <w:szCs w:val="22"/>
        </w:rPr>
        <w:t xml:space="preserve"> on project-based le</w:t>
      </w:r>
      <w:r w:rsidRPr="2030048C">
        <w:rPr>
          <w:rFonts w:ascii="Arial" w:eastAsia="Arial" w:hAnsi="Arial" w:cs="Arial"/>
          <w:color w:val="000000" w:themeColor="text1" w:themeShade="FF" w:themeTint="FF"/>
          <w:sz w:val="22"/>
          <w:szCs w:val="22"/>
        </w:rPr>
        <w:t>arning</w:t>
      </w:r>
      <w:r w:rsidRPr="2030048C">
        <w:rPr>
          <w:rFonts w:ascii="Arial" w:eastAsia="Arial" w:hAnsi="Arial" w:cs="Arial"/>
          <w:color w:val="000000" w:themeColor="text1" w:themeShade="FF" w:themeTint="FF"/>
          <w:sz w:val="22"/>
          <w:szCs w:val="22"/>
        </w:rPr>
        <w:t>. This</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allows, firstly, creating an atmosphere where staff and student embark on projects of enquiry as collaborators and active agents. Secondly, it reiterates the idea that knowledge is</w:t>
      </w:r>
      <w:r w:rsidRPr="2030048C">
        <w:rPr>
          <w:rFonts w:ascii="Arial" w:eastAsia="Arial" w:hAnsi="Arial" w:cs="Arial"/>
          <w:color w:val="FF0000"/>
          <w:sz w:val="22"/>
          <w:szCs w:val="22"/>
        </w:rPr>
        <w:t xml:space="preserve"> </w:t>
      </w:r>
      <w:r w:rsidRPr="2030048C">
        <w:rPr>
          <w:rFonts w:ascii="Arial" w:eastAsia="Arial" w:hAnsi="Arial" w:cs="Arial"/>
          <w:color w:val="000000" w:themeColor="text1" w:themeShade="FF" w:themeTint="FF"/>
          <w:sz w:val="22"/>
          <w:szCs w:val="22"/>
        </w:rPr>
        <w:t xml:space="preserve">intellectually rigorous and provides an open-ended environment to students. </w:t>
      </w:r>
      <w:r w:rsidRPr="2030048C">
        <w:rPr>
          <w:rFonts w:ascii="Arial" w:eastAsia="Arial" w:hAnsi="Arial" w:cs="Arial"/>
          <w:color w:val="000000" w:themeColor="text1" w:themeShade="FF" w:themeTint="FF"/>
          <w:sz w:val="22"/>
          <w:szCs w:val="22"/>
        </w:rPr>
        <w:t xml:space="preserve">At the same time, the students are provided with opportunities to develop their specialist skills, reflecting their chosen discipline, through </w:t>
      </w:r>
      <w:r w:rsidRPr="2030048C">
        <w:rPr>
          <w:rFonts w:ascii="Arial" w:eastAsia="Arial" w:hAnsi="Arial" w:cs="Arial"/>
          <w:color w:val="000000" w:themeColor="text1" w:themeShade="FF" w:themeTint="FF"/>
          <w:sz w:val="22"/>
          <w:szCs w:val="22"/>
        </w:rPr>
        <w:t xml:space="preserve">course-specific projects. </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The curricular structure and education strategies immerse students within a holistic experience of the different design disciplines domains of their choosing.</w:t>
      </w:r>
      <w:r w:rsidRPr="2030048C">
        <w:rPr>
          <w:rFonts w:ascii="Arial" w:eastAsia="Arial" w:hAnsi="Arial" w:cs="Arial"/>
          <w:color w:val="000000" w:themeColor="text1" w:themeShade="FF" w:themeTint="FF"/>
          <w:sz w:val="22"/>
          <w:szCs w:val="22"/>
        </w:rPr>
        <w:t xml:space="preserve"> </w:t>
      </w:r>
    </w:p>
    <w:p w:rsidRPr="2030048C" w:rsidP="2030048C">
      <w:pPr>
        <w:pStyle w:val="p"/>
        <w:spacing w:before="0" w:after="0"/>
        <w:ind w:left="0" w:right="0"/>
        <w:jc w:val="both"/>
        <w:rPr>
          <w:rFonts w:ascii="Arial" w:eastAsia="Arial" w:hAnsi="Arial" w:cs="Arial"/>
          <w:color w:val="000000" w:themeColor="text1" w:themeShade="FF" w:themeTint="FF"/>
          <w:sz w:val="22"/>
          <w:szCs w:val="22"/>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 xml:space="preserve">The </w:t>
      </w:r>
      <w:r w:rsidRPr="2030048C">
        <w:rPr>
          <w:rFonts w:ascii="Arial" w:eastAsia="Arial" w:hAnsi="Arial" w:cs="Arial"/>
          <w:color w:val="000000" w:themeColor="text1" w:themeShade="FF" w:themeTint="FF"/>
          <w:sz w:val="22"/>
          <w:szCs w:val="22"/>
        </w:rPr>
        <w:t>program</w:t>
      </w:r>
      <w:r w:rsidRPr="2030048C">
        <w:rPr>
          <w:rFonts w:ascii="Arial" w:eastAsia="Arial" w:hAnsi="Arial" w:cs="Arial"/>
          <w:color w:val="000000" w:themeColor="text1" w:themeShade="FF" w:themeTint="FF"/>
          <w:sz w:val="22"/>
          <w:szCs w:val="22"/>
        </w:rPr>
        <w:t>me</w:t>
      </w:r>
      <w:r w:rsidRPr="2030048C">
        <w:rPr>
          <w:rFonts w:ascii="Arial" w:eastAsia="Arial" w:hAnsi="Arial" w:cs="Arial"/>
          <w:color w:val="000000" w:themeColor="text1" w:themeShade="FF" w:themeTint="FF"/>
          <w:sz w:val="22"/>
          <w:szCs w:val="22"/>
        </w:rPr>
        <w:t xml:space="preserve"> is offered as</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 xml:space="preserve">a </w:t>
      </w:r>
      <w:r w:rsidRPr="2030048C">
        <w:rPr>
          <w:rFonts w:ascii="Arial" w:eastAsia="Arial" w:hAnsi="Arial" w:cs="Arial"/>
          <w:color w:val="000000" w:themeColor="text1" w:themeShade="FF" w:themeTint="FF"/>
          <w:sz w:val="22"/>
          <w:szCs w:val="22"/>
        </w:rPr>
        <w:t>full fi</w:t>
      </w:r>
      <w:r w:rsidRPr="2030048C">
        <w:rPr>
          <w:rFonts w:ascii="Arial" w:eastAsia="Arial" w:hAnsi="Arial" w:cs="Arial"/>
          <w:color w:val="000000" w:themeColor="text1" w:themeShade="FF" w:themeTint="FF"/>
          <w:sz w:val="22"/>
          <w:szCs w:val="22"/>
        </w:rPr>
        <w:t>e</w:t>
      </w:r>
      <w:r w:rsidRPr="2030048C">
        <w:rPr>
          <w:rFonts w:ascii="Arial" w:eastAsia="Arial" w:hAnsi="Arial" w:cs="Arial"/>
          <w:color w:val="000000" w:themeColor="text1" w:themeShade="FF" w:themeTint="FF"/>
          <w:sz w:val="22"/>
          <w:szCs w:val="22"/>
        </w:rPr>
        <w:t>l</w:t>
      </w:r>
      <w:r w:rsidRPr="2030048C">
        <w:rPr>
          <w:rFonts w:ascii="Arial" w:eastAsia="Arial" w:hAnsi="Arial" w:cs="Arial"/>
          <w:color w:val="000000" w:themeColor="text1" w:themeShade="FF" w:themeTint="FF"/>
          <w:sz w:val="22"/>
          <w:szCs w:val="22"/>
        </w:rPr>
        <w:t>d in</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 xml:space="preserve">full-time mode, and leads to the award of </w:t>
      </w:r>
      <w:r w:rsidRPr="2030048C">
        <w:rPr>
          <w:rFonts w:ascii="Arial" w:eastAsia="Arial" w:hAnsi="Arial" w:cs="Arial"/>
          <w:b/>
          <w:bCs/>
          <w:color w:val="000000" w:themeColor="text1" w:themeShade="FF" w:themeTint="FF"/>
          <w:sz w:val="22"/>
          <w:szCs w:val="22"/>
        </w:rPr>
        <w:t>BA (Hons)</w:t>
      </w:r>
      <w:r w:rsidRPr="2030048C">
        <w:rPr>
          <w:rFonts w:ascii="Arial" w:eastAsia="Arial" w:hAnsi="Arial" w:cs="Arial"/>
          <w:b/>
          <w:bCs/>
          <w:color w:val="000000" w:themeColor="text1" w:themeShade="FF" w:themeTint="FF"/>
          <w:sz w:val="22"/>
          <w:szCs w:val="22"/>
        </w:rPr>
        <w:t xml:space="preserve"> Fashion Design</w:t>
      </w:r>
      <w:r w:rsidRPr="2030048C">
        <w:rPr>
          <w:rFonts w:ascii="Arial" w:eastAsia="Arial" w:hAnsi="Arial" w:cs="Arial"/>
          <w:b/>
          <w:bCs/>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BA (Hons) Communication Design</w:t>
      </w:r>
      <w:r w:rsidRPr="2030048C">
        <w:rPr>
          <w:rFonts w:ascii="Arial" w:eastAsia="Arial" w:hAnsi="Arial" w:cs="Arial"/>
          <w:color w:val="000000" w:themeColor="text1" w:themeShade="FF" w:themeTint="FF"/>
          <w:sz w:val="22"/>
          <w:szCs w:val="22"/>
        </w:rPr>
        <w:t>; BA (Hons)</w:t>
      </w:r>
      <w:r w:rsidRPr="2030048C">
        <w:rPr>
          <w:rFonts w:ascii="Arial" w:eastAsia="Arial" w:hAnsi="Arial" w:cs="Arial"/>
          <w:color w:val="000000" w:themeColor="text1" w:themeShade="FF" w:themeTint="FF"/>
          <w:sz w:val="22"/>
          <w:szCs w:val="22"/>
        </w:rPr>
        <w:t xml:space="preserve"> Interior Architecture &amp; Design. </w:t>
      </w:r>
    </w:p>
    <w:p w:rsidRPr="2030048C" w:rsidP="2030048C">
      <w:pPr>
        <w:pStyle w:val="p"/>
        <w:spacing w:before="0" w:after="0"/>
        <w:ind w:left="0" w:right="0"/>
        <w:jc w:val="both"/>
        <w:rPr>
          <w:rFonts w:ascii="Arial" w:eastAsia="Arial" w:hAnsi="Arial" w:cs="Arial"/>
          <w:color w:val="000000" w:themeColor="text1" w:themeShade="FF" w:themeTint="FF"/>
          <w:sz w:val="22"/>
          <w:szCs w:val="22"/>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 xml:space="preserve">Entry is normally at </w:t>
      </w:r>
      <w:r w:rsidRPr="2030048C">
        <w:rPr>
          <w:rFonts w:ascii="Arial" w:eastAsia="Arial" w:hAnsi="Arial" w:cs="Arial"/>
          <w:color w:val="000000" w:themeColor="text1" w:themeShade="FF" w:themeTint="FF"/>
          <w:sz w:val="22"/>
          <w:szCs w:val="22"/>
        </w:rPr>
        <w:t>L</w:t>
      </w:r>
      <w:r w:rsidRPr="2030048C">
        <w:rPr>
          <w:rFonts w:ascii="Arial" w:eastAsia="Arial" w:hAnsi="Arial" w:cs="Arial"/>
          <w:color w:val="000000" w:themeColor="text1" w:themeShade="FF" w:themeTint="FF"/>
          <w:sz w:val="22"/>
          <w:szCs w:val="22"/>
        </w:rPr>
        <w:t xml:space="preserve">evel 4 or equivalent qualification (see section </w:t>
      </w:r>
      <w:r w:rsidRPr="2030048C">
        <w:rPr>
          <w:rFonts w:ascii="Arial" w:eastAsia="Arial" w:hAnsi="Arial" w:cs="Arial"/>
          <w:color w:val="000000" w:themeColor="text1" w:themeShade="FF" w:themeTint="FF"/>
          <w:sz w:val="22"/>
          <w:szCs w:val="22"/>
        </w:rPr>
        <w:t>D)</w:t>
      </w:r>
      <w:r w:rsidRPr="2030048C">
        <w:rPr>
          <w:rFonts w:ascii="Arial" w:eastAsia="Arial" w:hAnsi="Arial" w:cs="Arial"/>
          <w:color w:val="000000" w:themeColor="text1" w:themeShade="FF" w:themeTint="FF"/>
          <w:sz w:val="22"/>
          <w:szCs w:val="22"/>
        </w:rPr>
        <w:t>.</w:t>
      </w:r>
      <w:r w:rsidRPr="2030048C">
        <w:rPr>
          <w:rFonts w:ascii="Arial" w:eastAsia="Arial" w:hAnsi="Arial" w:cs="Arial"/>
          <w:color w:val="000000" w:themeColor="text1" w:themeShade="FF" w:themeTint="FF"/>
          <w:sz w:val="22"/>
          <w:szCs w:val="22"/>
        </w:rPr>
        <w:t xml:space="preserve"> Transfer from</w:t>
      </w:r>
      <w:r w:rsidRPr="2030048C">
        <w:rPr>
          <w:rFonts w:ascii="Arial" w:eastAsia="Arial" w:hAnsi="Arial" w:cs="Arial"/>
          <w:color w:val="000000" w:themeColor="text1" w:themeShade="FF" w:themeTint="FF"/>
          <w:sz w:val="22"/>
          <w:szCs w:val="22"/>
        </w:rPr>
        <w:t xml:space="preserve"> a</w:t>
      </w:r>
      <w:r w:rsidRPr="2030048C">
        <w:rPr>
          <w:rFonts w:ascii="Arial" w:eastAsia="Arial" w:hAnsi="Arial" w:cs="Arial"/>
          <w:color w:val="000000" w:themeColor="text1" w:themeShade="FF" w:themeTint="FF"/>
          <w:sz w:val="22"/>
          <w:szCs w:val="22"/>
        </w:rPr>
        <w:t xml:space="preserve"> similar </w:t>
      </w:r>
      <w:r w:rsidRPr="2030048C">
        <w:rPr>
          <w:rFonts w:ascii="Arial" w:eastAsia="Arial" w:hAnsi="Arial" w:cs="Arial"/>
          <w:color w:val="000000" w:themeColor="text1" w:themeShade="FF" w:themeTint="FF"/>
          <w:sz w:val="22"/>
          <w:szCs w:val="22"/>
        </w:rPr>
        <w:t>program</w:t>
      </w:r>
      <w:r w:rsidRPr="2030048C">
        <w:rPr>
          <w:rFonts w:ascii="Arial" w:eastAsia="Arial" w:hAnsi="Arial" w:cs="Arial"/>
          <w:color w:val="000000" w:themeColor="text1" w:themeShade="FF" w:themeTint="FF"/>
          <w:sz w:val="22"/>
          <w:szCs w:val="22"/>
        </w:rPr>
        <w:t>me</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R</w:t>
      </w:r>
      <w:r w:rsidRPr="2030048C">
        <w:rPr>
          <w:rFonts w:ascii="Arial" w:eastAsia="Arial" w:hAnsi="Arial" w:cs="Arial"/>
          <w:color w:val="000000" w:themeColor="text1" w:themeShade="FF" w:themeTint="FF"/>
          <w:sz w:val="22"/>
          <w:szCs w:val="22"/>
        </w:rPr>
        <w:t>PL) is possible</w:t>
      </w:r>
      <w:r w:rsidRPr="2030048C">
        <w:rPr>
          <w:rFonts w:ascii="Arial" w:eastAsia="Arial" w:hAnsi="Arial" w:cs="Arial"/>
          <w:color w:val="000000" w:themeColor="text1" w:themeShade="FF" w:themeTint="FF"/>
          <w:sz w:val="22"/>
          <w:szCs w:val="22"/>
        </w:rPr>
        <w:t xml:space="preserve"> depending</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up</w:t>
      </w:r>
      <w:r w:rsidRPr="2030048C">
        <w:rPr>
          <w:rFonts w:ascii="Arial" w:eastAsia="Arial" w:hAnsi="Arial" w:cs="Arial"/>
          <w:color w:val="000000" w:themeColor="text1" w:themeShade="FF" w:themeTint="FF"/>
          <w:sz w:val="22"/>
          <w:szCs w:val="22"/>
        </w:rPr>
        <w:t xml:space="preserve">on </w:t>
      </w:r>
      <w:r w:rsidRPr="2030048C">
        <w:rPr>
          <w:rFonts w:ascii="Arial" w:eastAsia="Arial" w:hAnsi="Arial" w:cs="Arial"/>
          <w:color w:val="000000" w:themeColor="text1" w:themeShade="FF" w:themeTint="FF"/>
          <w:sz w:val="22"/>
          <w:szCs w:val="22"/>
        </w:rPr>
        <w:t xml:space="preserve">the </w:t>
      </w:r>
      <w:r w:rsidRPr="2030048C">
        <w:rPr>
          <w:rFonts w:ascii="Arial" w:eastAsia="Arial" w:hAnsi="Arial" w:cs="Arial"/>
          <w:color w:val="000000" w:themeColor="text1" w:themeShade="FF" w:themeTint="FF"/>
          <w:sz w:val="22"/>
          <w:szCs w:val="22"/>
        </w:rPr>
        <w:t xml:space="preserve">strength of </w:t>
      </w:r>
      <w:r w:rsidRPr="2030048C">
        <w:rPr>
          <w:rFonts w:ascii="Arial" w:eastAsia="Arial" w:hAnsi="Arial" w:cs="Arial"/>
          <w:color w:val="000000" w:themeColor="text1" w:themeShade="FF" w:themeTint="FF"/>
          <w:sz w:val="22"/>
          <w:szCs w:val="22"/>
        </w:rPr>
        <w:t xml:space="preserve">the </w:t>
      </w:r>
      <w:r w:rsidRPr="2030048C">
        <w:rPr>
          <w:rFonts w:ascii="Arial" w:eastAsia="Arial" w:hAnsi="Arial" w:cs="Arial"/>
          <w:color w:val="000000" w:themeColor="text1" w:themeShade="FF" w:themeTint="FF"/>
          <w:sz w:val="22"/>
          <w:szCs w:val="22"/>
        </w:rPr>
        <w:t>portfolio and</w:t>
      </w:r>
      <w:r w:rsidRPr="2030048C">
        <w:rPr>
          <w:rFonts w:ascii="Arial" w:eastAsia="Arial" w:hAnsi="Arial" w:cs="Arial"/>
          <w:color w:val="000000" w:themeColor="text1" w:themeShade="FF" w:themeTint="FF"/>
          <w:sz w:val="22"/>
          <w:szCs w:val="22"/>
        </w:rPr>
        <w:t xml:space="preserve"> the performance in the interview. </w:t>
      </w:r>
      <w:r w:rsidRPr="2030048C">
        <w:rPr>
          <w:rFonts w:ascii="Arial" w:eastAsia="Arial" w:hAnsi="Arial" w:cs="Arial"/>
          <w:color w:val="000000" w:themeColor="text1" w:themeShade="FF" w:themeTint="FF"/>
          <w:sz w:val="22"/>
          <w:szCs w:val="22"/>
        </w:rPr>
        <w:t>Intake is</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 xml:space="preserve">normally </w:t>
      </w:r>
      <w:r w:rsidRPr="2030048C">
        <w:rPr>
          <w:rFonts w:ascii="Arial" w:eastAsia="Arial" w:hAnsi="Arial" w:cs="Arial"/>
          <w:color w:val="000000" w:themeColor="text1" w:themeShade="FF" w:themeTint="FF"/>
          <w:sz w:val="22"/>
          <w:szCs w:val="22"/>
        </w:rPr>
        <w:t>in August.</w:t>
      </w:r>
    </w:p>
    <w:p w:rsidRPr="2030048C" w:rsidP="2030048C">
      <w:pPr>
        <w:pStyle w:val="p"/>
        <w:spacing w:before="0" w:after="0"/>
        <w:ind w:left="0" w:right="0"/>
        <w:jc w:val="both"/>
        <w:rPr>
          <w:rFonts w:ascii="Arial" w:eastAsia="Arial" w:hAnsi="Arial" w:cs="Arial"/>
          <w:color w:val="000000" w:themeColor="text1" w:themeShade="FF" w:themeTint="FF"/>
          <w:sz w:val="22"/>
          <w:szCs w:val="22"/>
        </w:rPr>
      </w:pPr>
    </w:p>
    <w:p w:rsidRPr="2030048C" w:rsidP="2030048C">
      <w:pPr>
        <w:pStyle w:val="ListParagraph0"/>
        <w:spacing w:before="0" w:after="0"/>
        <w:ind w:left="360" w:right="0" w:hanging="360"/>
        <w:jc w:val="both"/>
        <w:rPr>
          <w:rFonts w:ascii="Cambria" w:eastAsia="Cambria" w:hAnsi="Cambria" w:cs="Cambria"/>
          <w:color w:val="000000" w:themeColor="text1" w:themeShade="FF" w:themeTint="FF"/>
          <w:sz w:val="22"/>
          <w:szCs w:val="22"/>
        </w:rPr>
      </w:pPr>
      <w:r w:rsidRPr="2030048C">
        <w:rPr>
          <w:rFonts w:ascii="Arial" w:eastAsia="Arial" w:hAnsi="Arial" w:cs="Arial"/>
          <w:b/>
          <w:bCs/>
          <w:color w:val="000000" w:themeColor="text1" w:themeShade="FF" w:themeTint="FF"/>
          <w:sz w:val="22"/>
          <w:szCs w:val="22"/>
        </w:rPr>
        <w:t>E1.</w:t>
      </w:r>
      <w:r w:rsidRPr="2030048C">
        <w:rPr>
          <w:rFonts w:ascii="Times New Roman" w:eastAsia="Times New Roman" w:hAnsi="Times New Roman" w:cs="Times New Roman"/>
          <w:b w:val="0"/>
          <w:bCs w:val="0"/>
          <w:i w:val="0"/>
          <w:iCs w:val="0"/>
          <w:smallCaps w:val="0"/>
          <w:color w:val="000000" w:themeColor="text1" w:themeShade="FF" w:themeTint="FF"/>
          <w:sz w:val="14"/>
          <w:szCs w:val="14"/>
        </w:rPr>
        <w:t xml:space="preserve"> </w:t>
      </w:r>
      <w:r w:rsidRPr="2030048C">
        <w:rPr>
          <w:rFonts w:ascii="Arial" w:eastAsia="Arial" w:hAnsi="Arial" w:cs="Arial"/>
          <w:b/>
          <w:bCs/>
          <w:color w:val="000000" w:themeColor="text1" w:themeShade="FF" w:themeTint="FF"/>
          <w:sz w:val="22"/>
          <w:szCs w:val="22"/>
        </w:rPr>
        <w:t>Professional and Statutory Regulatory Bodies</w:t>
      </w:r>
    </w:p>
    <w:p w:rsidRPr="2030048C" w:rsidP="2030048C">
      <w:pPr>
        <w:pStyle w:val="ListParagraph0"/>
        <w:spacing w:before="0" w:after="0"/>
        <w:ind w:left="360" w:right="0"/>
        <w:jc w:val="both"/>
        <w:rPr>
          <w:rFonts w:ascii="Arial" w:eastAsia="Arial" w:hAnsi="Arial" w:cs="Arial"/>
          <w:b/>
          <w:bCs/>
          <w:color w:val="000000" w:themeColor="text1" w:themeShade="FF" w:themeTint="FF"/>
          <w:sz w:val="22"/>
          <w:szCs w:val="22"/>
        </w:rPr>
      </w:pPr>
    </w:p>
    <w:p w:rsidRPr="2030048C" w:rsidP="2030048C">
      <w:pPr>
        <w:pStyle w:val="p"/>
        <w:tabs>
          <w:tab w:val="right" w:pos="9026"/>
        </w:tabs>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Not applicable</w:t>
      </w:r>
      <w:r w:rsidRPr="2030048C">
        <w:rPr>
          <w:rFonts w:ascii="Arial" w:eastAsia="Arial" w:hAnsi="Arial" w:cs="Arial"/>
          <w:color w:val="000000" w:themeColor="text1" w:themeShade="FF" w:themeTint="FF"/>
          <w:sz w:val="22"/>
          <w:szCs w:val="22"/>
        </w:rPr>
        <w:t>.</w:t>
      </w:r>
      <w:r w:rsidRPr="2030048C">
        <w:rPr>
          <w:rFonts w:ascii="Times New Roman" w:eastAsia="Times New Roman" w:hAnsi="Times New Roman" w:cs="Times New Roman"/>
          <w:color w:val="000000" w:themeColor="text1" w:themeShade="FF" w:themeTint="FF"/>
          <w:sz w:val="22"/>
          <w:szCs w:val="22"/>
        </w:rPr>
        <w:tab/>
      </w:r>
    </w:p>
    <w:p w:rsidRPr="2030048C" w:rsidP="2030048C">
      <w:pPr>
        <w:pStyle w:val="p"/>
        <w:spacing w:before="0" w:after="0"/>
        <w:ind w:left="0" w:right="0"/>
        <w:jc w:val="both"/>
        <w:rPr>
          <w:rFonts w:ascii="Arial" w:eastAsia="Arial" w:hAnsi="Arial" w:cs="Arial"/>
          <w:color w:val="000000" w:themeColor="text1" w:themeShade="FF" w:themeTint="FF"/>
          <w:sz w:val="22"/>
          <w:szCs w:val="22"/>
        </w:rPr>
      </w:pPr>
    </w:p>
    <w:p w:rsidRPr="2030048C" w:rsidP="2030048C">
      <w:pPr>
        <w:pStyle w:val="ListParagraph0"/>
        <w:spacing w:before="0" w:after="0"/>
        <w:ind w:left="360" w:right="0" w:hanging="360"/>
        <w:jc w:val="both"/>
        <w:rPr>
          <w:rFonts w:ascii="Cambria" w:eastAsia="Cambria" w:hAnsi="Cambria" w:cs="Cambria"/>
          <w:color w:val="000000" w:themeColor="text1" w:themeShade="FF" w:themeTint="FF"/>
          <w:sz w:val="22"/>
          <w:szCs w:val="22"/>
        </w:rPr>
      </w:pPr>
      <w:r w:rsidRPr="2030048C">
        <w:rPr>
          <w:rFonts w:ascii="Arial" w:eastAsia="Arial" w:hAnsi="Arial" w:cs="Arial"/>
          <w:b/>
          <w:bCs/>
          <w:color w:val="000000" w:themeColor="text1" w:themeShade="FF" w:themeTint="FF"/>
          <w:sz w:val="22"/>
          <w:szCs w:val="22"/>
        </w:rPr>
        <w:t>E2.</w:t>
      </w:r>
      <w:r w:rsidRPr="2030048C">
        <w:rPr>
          <w:rFonts w:ascii="Times New Roman" w:eastAsia="Times New Roman" w:hAnsi="Times New Roman" w:cs="Times New Roman"/>
          <w:b w:val="0"/>
          <w:bCs w:val="0"/>
          <w:i w:val="0"/>
          <w:iCs w:val="0"/>
          <w:smallCaps w:val="0"/>
          <w:color w:val="000000" w:themeColor="text1" w:themeShade="FF" w:themeTint="FF"/>
          <w:sz w:val="14"/>
          <w:szCs w:val="14"/>
        </w:rPr>
        <w:t xml:space="preserve"> </w:t>
      </w:r>
      <w:r w:rsidRPr="2030048C">
        <w:rPr>
          <w:rFonts w:ascii="Arial" w:eastAsia="Arial" w:hAnsi="Arial" w:cs="Arial"/>
          <w:b/>
          <w:bCs/>
          <w:color w:val="000000" w:themeColor="text1" w:themeShade="FF" w:themeTint="FF"/>
          <w:sz w:val="22"/>
          <w:szCs w:val="22"/>
        </w:rPr>
        <w:t>Work</w:t>
      </w:r>
      <w:r w:rsidRPr="2030048C">
        <w:rPr>
          <w:rFonts w:ascii="Arial" w:eastAsia="Arial" w:hAnsi="Arial" w:cs="Arial"/>
          <w:b/>
          <w:bCs/>
          <w:color w:val="000000" w:themeColor="text1" w:themeShade="FF" w:themeTint="FF"/>
          <w:sz w:val="22"/>
          <w:szCs w:val="22"/>
        </w:rPr>
        <w:t>-based learning</w:t>
      </w:r>
    </w:p>
    <w:p w:rsidRPr="2030048C" w:rsidP="2030048C">
      <w:pPr>
        <w:pStyle w:val="ListParagraph0"/>
        <w:spacing w:before="0" w:after="0"/>
        <w:ind w:left="360" w:right="0"/>
        <w:jc w:val="both"/>
        <w:rPr>
          <w:rFonts w:ascii="Arial" w:eastAsia="Arial" w:hAnsi="Arial" w:cs="Arial"/>
          <w:b/>
          <w:bCs/>
          <w:color w:val="000000" w:themeColor="text1" w:themeShade="FF" w:themeTint="FF"/>
          <w:sz w:val="22"/>
          <w:szCs w:val="22"/>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Though w</w:t>
      </w:r>
      <w:r w:rsidRPr="2030048C">
        <w:rPr>
          <w:rFonts w:ascii="Arial" w:eastAsia="Arial" w:hAnsi="Arial" w:cs="Arial"/>
          <w:color w:val="000000" w:themeColor="text1" w:themeShade="FF" w:themeTint="FF"/>
          <w:sz w:val="22"/>
          <w:szCs w:val="22"/>
        </w:rPr>
        <w:t>ork placements</w:t>
      </w:r>
      <w:r w:rsidRPr="2030048C">
        <w:rPr>
          <w:rFonts w:ascii="Arial" w:eastAsia="Arial" w:hAnsi="Arial" w:cs="Arial"/>
          <w:color w:val="000000" w:themeColor="text1" w:themeShade="FF" w:themeTint="FF"/>
          <w:sz w:val="22"/>
          <w:szCs w:val="22"/>
        </w:rPr>
        <w:t>/industry internships</w:t>
      </w:r>
      <w:r w:rsidRPr="2030048C">
        <w:rPr>
          <w:rFonts w:ascii="Arial" w:eastAsia="Arial" w:hAnsi="Arial" w:cs="Arial"/>
          <w:color w:val="000000" w:themeColor="text1" w:themeShade="FF" w:themeTint="FF"/>
          <w:sz w:val="22"/>
          <w:szCs w:val="22"/>
        </w:rPr>
        <w:t xml:space="preserve"> are </w:t>
      </w:r>
      <w:r w:rsidRPr="2030048C">
        <w:rPr>
          <w:rFonts w:ascii="Arial" w:eastAsia="Arial" w:hAnsi="Arial" w:cs="Arial"/>
          <w:color w:val="000000" w:themeColor="text1" w:themeShade="FF" w:themeTint="FF"/>
          <w:sz w:val="22"/>
          <w:szCs w:val="22"/>
        </w:rPr>
        <w:t>non-credited, they are actively encouraged. I</w:t>
      </w:r>
      <w:r w:rsidRPr="2030048C">
        <w:rPr>
          <w:rFonts w:ascii="Arial" w:eastAsia="Arial" w:hAnsi="Arial" w:cs="Arial"/>
          <w:color w:val="000000" w:themeColor="text1" w:themeShade="FF" w:themeTint="FF"/>
          <w:sz w:val="22"/>
          <w:szCs w:val="22"/>
        </w:rPr>
        <w:t>t is the responsibility of individual students to source and secure such placements</w:t>
      </w:r>
      <w:r w:rsidRPr="2030048C">
        <w:rPr>
          <w:rFonts w:ascii="Arial" w:eastAsia="Arial" w:hAnsi="Arial" w:cs="Arial"/>
          <w:color w:val="000000" w:themeColor="text1" w:themeShade="FF" w:themeTint="FF"/>
          <w:sz w:val="22"/>
          <w:szCs w:val="22"/>
        </w:rPr>
        <w:t xml:space="preserve"> during the breaks between levels</w:t>
      </w:r>
      <w:r w:rsidRPr="2030048C">
        <w:rPr>
          <w:rFonts w:ascii="Arial" w:eastAsia="Arial" w:hAnsi="Arial" w:cs="Arial"/>
          <w:color w:val="000000" w:themeColor="text1" w:themeShade="FF" w:themeTint="FF"/>
          <w:sz w:val="22"/>
          <w:szCs w:val="22"/>
        </w:rPr>
        <w:t>.</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This allows students to reflect upon their own personal experience of working in an applied setting, to focus on aspects of this experience that they can clearly relate to theoretical concepts and to evaluate the relationship between theory and practice.</w:t>
      </w:r>
    </w:p>
    <w:p w:rsidRPr="2030048C" w:rsidP="2030048C">
      <w:pPr>
        <w:pStyle w:val="p"/>
        <w:spacing w:before="0" w:after="0"/>
        <w:ind w:left="0" w:right="0"/>
        <w:jc w:val="both"/>
        <w:rPr>
          <w:rFonts w:ascii="Arial" w:eastAsia="Arial" w:hAnsi="Arial" w:cs="Arial"/>
          <w:color w:val="000000" w:themeColor="text1" w:themeShade="FF" w:themeTint="FF"/>
          <w:sz w:val="22"/>
          <w:szCs w:val="22"/>
        </w:rPr>
      </w:pPr>
    </w:p>
    <w:p w:rsidRPr="2030048C" w:rsidP="2030048C">
      <w:pPr>
        <w:pStyle w:val="ListParagraph0"/>
        <w:spacing w:before="0" w:after="0"/>
        <w:ind w:left="360" w:right="0" w:hanging="360"/>
        <w:jc w:val="both"/>
        <w:rPr>
          <w:rFonts w:ascii="Cambria" w:eastAsia="Cambria" w:hAnsi="Cambria" w:cs="Cambria"/>
          <w:color w:val="000000" w:themeColor="text1" w:themeShade="FF" w:themeTint="FF"/>
          <w:sz w:val="22"/>
          <w:szCs w:val="22"/>
        </w:rPr>
      </w:pPr>
      <w:r w:rsidRPr="2030048C">
        <w:rPr>
          <w:rFonts w:ascii="Arial" w:eastAsia="Arial" w:hAnsi="Arial" w:cs="Arial"/>
          <w:b/>
          <w:bCs/>
          <w:color w:val="000000" w:themeColor="text1" w:themeShade="FF" w:themeTint="FF"/>
          <w:sz w:val="22"/>
          <w:szCs w:val="22"/>
        </w:rPr>
        <w:t>E3.</w:t>
      </w:r>
      <w:r w:rsidRPr="2030048C">
        <w:rPr>
          <w:rFonts w:ascii="Times New Roman" w:eastAsia="Times New Roman" w:hAnsi="Times New Roman" w:cs="Times New Roman"/>
          <w:b w:val="0"/>
          <w:bCs w:val="0"/>
          <w:i w:val="0"/>
          <w:iCs w:val="0"/>
          <w:smallCaps w:val="0"/>
          <w:color w:val="000000" w:themeColor="text1" w:themeShade="FF" w:themeTint="FF"/>
          <w:sz w:val="14"/>
          <w:szCs w:val="14"/>
        </w:rPr>
        <w:t xml:space="preserve"> </w:t>
      </w:r>
      <w:r w:rsidRPr="2030048C">
        <w:rPr>
          <w:rFonts w:ascii="Arial" w:eastAsia="Arial" w:hAnsi="Arial" w:cs="Arial"/>
          <w:b/>
          <w:bCs/>
          <w:color w:val="000000" w:themeColor="text1" w:themeShade="FF" w:themeTint="FF"/>
          <w:sz w:val="22"/>
          <w:szCs w:val="22"/>
        </w:rPr>
        <w:t xml:space="preserve">Outline </w:t>
      </w:r>
      <w:r w:rsidRPr="2030048C">
        <w:rPr>
          <w:rFonts w:ascii="Arial" w:eastAsia="Arial" w:hAnsi="Arial" w:cs="Arial"/>
          <w:b/>
          <w:bCs/>
          <w:color w:val="000000" w:themeColor="text1" w:themeShade="FF" w:themeTint="FF"/>
          <w:sz w:val="22"/>
          <w:szCs w:val="22"/>
        </w:rPr>
        <w:t>Programme</w:t>
      </w:r>
      <w:r w:rsidRPr="2030048C">
        <w:rPr>
          <w:rFonts w:ascii="Arial" w:eastAsia="Arial" w:hAnsi="Arial" w:cs="Arial"/>
          <w:b/>
          <w:bCs/>
          <w:color w:val="000000" w:themeColor="text1" w:themeShade="FF" w:themeTint="FF"/>
          <w:sz w:val="22"/>
          <w:szCs w:val="22"/>
        </w:rPr>
        <w:t xml:space="preserve"> Structure</w:t>
      </w:r>
    </w:p>
    <w:p w:rsidRPr="2030048C" w:rsidP="2030048C">
      <w:pPr>
        <w:pStyle w:val="ListParagraph0"/>
        <w:spacing w:before="0" w:after="0"/>
        <w:ind w:left="360" w:right="0"/>
        <w:jc w:val="both"/>
        <w:rPr>
          <w:rFonts w:ascii="Arial" w:eastAsia="Arial" w:hAnsi="Arial" w:cs="Arial"/>
          <w:b/>
          <w:bCs/>
          <w:color w:val="000000" w:themeColor="text1" w:themeShade="FF" w:themeTint="FF"/>
          <w:sz w:val="22"/>
          <w:szCs w:val="22"/>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Each level is made up of four modules, which total up to 120 credits at each level (4</w:t>
      </w:r>
      <w:r w:rsidRPr="2030048C">
        <w:rPr>
          <w:rFonts w:ascii="Arial" w:eastAsia="Arial" w:hAnsi="Arial" w:cs="Arial"/>
          <w:color w:val="000000" w:themeColor="text1" w:themeShade="FF" w:themeTint="FF"/>
          <w:sz w:val="22"/>
          <w:szCs w:val="22"/>
        </w:rPr>
        <w:t>×</w:t>
      </w:r>
      <w:r w:rsidRPr="2030048C">
        <w:rPr>
          <w:rFonts w:ascii="Arial" w:eastAsia="Arial" w:hAnsi="Arial" w:cs="Arial"/>
          <w:color w:val="000000" w:themeColor="text1" w:themeShade="FF" w:themeTint="FF"/>
          <w:sz w:val="22"/>
          <w:szCs w:val="22"/>
        </w:rPr>
        <w:t xml:space="preserve">30 credit modules each). </w:t>
      </w:r>
      <w:r w:rsidRPr="2030048C">
        <w:rPr>
          <w:rFonts w:ascii="Arial" w:eastAsia="Arial" w:hAnsi="Arial" w:cs="Arial"/>
          <w:color w:val="000000" w:themeColor="text1" w:themeShade="FF" w:themeTint="FF"/>
          <w:sz w:val="22"/>
          <w:szCs w:val="22"/>
        </w:rPr>
        <w:t>L</w:t>
      </w:r>
      <w:r w:rsidRPr="2030048C">
        <w:rPr>
          <w:rFonts w:ascii="Arial" w:eastAsia="Arial" w:hAnsi="Arial" w:cs="Arial"/>
          <w:color w:val="000000" w:themeColor="text1" w:themeShade="FF" w:themeTint="FF"/>
          <w:sz w:val="22"/>
          <w:szCs w:val="22"/>
        </w:rPr>
        <w:t xml:space="preserve">evel </w:t>
      </w:r>
      <w:r w:rsidRPr="2030048C">
        <w:rPr>
          <w:rFonts w:ascii="Arial" w:eastAsia="Arial" w:hAnsi="Arial" w:cs="Arial"/>
          <w:color w:val="000000" w:themeColor="text1" w:themeShade="FF" w:themeTint="FF"/>
          <w:sz w:val="22"/>
          <w:szCs w:val="22"/>
        </w:rPr>
        <w:t xml:space="preserve">4 has </w:t>
      </w:r>
      <w:r w:rsidRPr="2030048C">
        <w:rPr>
          <w:rFonts w:ascii="Arial" w:eastAsia="Arial" w:hAnsi="Arial" w:cs="Arial"/>
          <w:color w:val="000000" w:themeColor="text1" w:themeShade="FF" w:themeTint="FF"/>
          <w:sz w:val="22"/>
          <w:szCs w:val="22"/>
        </w:rPr>
        <w:t xml:space="preserve">4 </w:t>
      </w:r>
      <w:r w:rsidRPr="2030048C">
        <w:rPr>
          <w:rFonts w:ascii="Arial" w:eastAsia="Arial" w:hAnsi="Arial" w:cs="Arial"/>
          <w:color w:val="000000" w:themeColor="text1" w:themeShade="FF" w:themeTint="FF"/>
          <w:sz w:val="22"/>
          <w:szCs w:val="22"/>
        </w:rPr>
        <w:t>module</w:t>
      </w:r>
      <w:r w:rsidRPr="2030048C">
        <w:rPr>
          <w:rFonts w:ascii="Arial" w:eastAsia="Arial" w:hAnsi="Arial" w:cs="Arial"/>
          <w:color w:val="000000" w:themeColor="text1" w:themeShade="FF" w:themeTint="FF"/>
          <w:sz w:val="22"/>
          <w:szCs w:val="22"/>
        </w:rPr>
        <w:t>s</w:t>
      </w:r>
      <w:r w:rsidRPr="2030048C">
        <w:rPr>
          <w:rFonts w:ascii="Arial" w:eastAsia="Arial" w:hAnsi="Arial" w:cs="Arial"/>
          <w:color w:val="000000" w:themeColor="text1" w:themeShade="FF" w:themeTint="FF"/>
          <w:sz w:val="22"/>
          <w:szCs w:val="22"/>
        </w:rPr>
        <w:t xml:space="preserve"> a</w:t>
      </w:r>
      <w:r w:rsidRPr="2030048C">
        <w:rPr>
          <w:rFonts w:ascii="Arial" w:eastAsia="Arial" w:hAnsi="Arial" w:cs="Arial"/>
          <w:color w:val="000000" w:themeColor="text1" w:themeShade="FF" w:themeTint="FF"/>
          <w:sz w:val="22"/>
          <w:szCs w:val="22"/>
        </w:rPr>
        <w:t>nd each module is of 30 credits</w:t>
      </w:r>
      <w:r w:rsidRPr="2030048C">
        <w:rPr>
          <w:rFonts w:ascii="Arial" w:eastAsia="Arial" w:hAnsi="Arial" w:cs="Arial"/>
          <w:color w:val="000000" w:themeColor="text1" w:themeShade="FF" w:themeTint="FF"/>
          <w:sz w:val="22"/>
          <w:szCs w:val="22"/>
        </w:rPr>
        <w:t>. L</w:t>
      </w:r>
      <w:r w:rsidRPr="2030048C">
        <w:rPr>
          <w:rFonts w:ascii="Arial" w:eastAsia="Arial" w:hAnsi="Arial" w:cs="Arial"/>
          <w:color w:val="000000" w:themeColor="text1" w:themeShade="FF" w:themeTint="FF"/>
          <w:sz w:val="22"/>
          <w:szCs w:val="22"/>
        </w:rPr>
        <w:t xml:space="preserve">evel </w:t>
      </w:r>
      <w:r w:rsidRPr="2030048C">
        <w:rPr>
          <w:rFonts w:ascii="Arial" w:eastAsia="Arial" w:hAnsi="Arial" w:cs="Arial"/>
          <w:color w:val="000000" w:themeColor="text1" w:themeShade="FF" w:themeTint="FF"/>
          <w:sz w:val="22"/>
          <w:szCs w:val="22"/>
        </w:rPr>
        <w:t xml:space="preserve">5 has 4 modules each </w:t>
      </w:r>
      <w:r w:rsidRPr="2030048C">
        <w:rPr>
          <w:rFonts w:ascii="Arial" w:eastAsia="Arial" w:hAnsi="Arial" w:cs="Arial"/>
          <w:color w:val="000000" w:themeColor="text1" w:themeShade="FF" w:themeTint="FF"/>
          <w:sz w:val="22"/>
          <w:szCs w:val="22"/>
        </w:rPr>
        <w:t xml:space="preserve">of </w:t>
      </w:r>
      <w:r w:rsidRPr="2030048C">
        <w:rPr>
          <w:rFonts w:ascii="Arial" w:eastAsia="Arial" w:hAnsi="Arial" w:cs="Arial"/>
          <w:color w:val="000000" w:themeColor="text1" w:themeShade="FF" w:themeTint="FF"/>
          <w:sz w:val="22"/>
          <w:szCs w:val="22"/>
        </w:rPr>
        <w:t>30 credits. L</w:t>
      </w:r>
      <w:r w:rsidRPr="2030048C">
        <w:rPr>
          <w:rFonts w:ascii="Arial" w:eastAsia="Arial" w:hAnsi="Arial" w:cs="Arial"/>
          <w:color w:val="000000" w:themeColor="text1" w:themeShade="FF" w:themeTint="FF"/>
          <w:sz w:val="22"/>
          <w:szCs w:val="22"/>
        </w:rPr>
        <w:t xml:space="preserve">evel </w:t>
      </w:r>
      <w:r w:rsidRPr="2030048C">
        <w:rPr>
          <w:rFonts w:ascii="Arial" w:eastAsia="Arial" w:hAnsi="Arial" w:cs="Arial"/>
          <w:color w:val="000000" w:themeColor="text1" w:themeShade="FF" w:themeTint="FF"/>
          <w:sz w:val="22"/>
          <w:szCs w:val="22"/>
        </w:rPr>
        <w:t xml:space="preserve">6 has </w:t>
      </w:r>
      <w:r w:rsidRPr="2030048C">
        <w:rPr>
          <w:rFonts w:ascii="Arial" w:eastAsia="Arial" w:hAnsi="Arial" w:cs="Arial"/>
          <w:color w:val="000000" w:themeColor="text1" w:themeShade="FF" w:themeTint="FF"/>
          <w:sz w:val="22"/>
          <w:szCs w:val="22"/>
        </w:rPr>
        <w:t xml:space="preserve">3 </w:t>
      </w:r>
      <w:r w:rsidRPr="2030048C">
        <w:rPr>
          <w:rFonts w:ascii="Arial" w:eastAsia="Arial" w:hAnsi="Arial" w:cs="Arial"/>
          <w:color w:val="000000" w:themeColor="text1" w:themeShade="FF" w:themeTint="FF"/>
          <w:sz w:val="22"/>
          <w:szCs w:val="22"/>
        </w:rPr>
        <w:t xml:space="preserve">modules </w:t>
      </w:r>
      <w:r w:rsidRPr="2030048C">
        <w:rPr>
          <w:rFonts w:ascii="Arial" w:eastAsia="Arial" w:hAnsi="Arial" w:cs="Arial"/>
          <w:color w:val="000000" w:themeColor="text1" w:themeShade="FF" w:themeTint="FF"/>
          <w:sz w:val="22"/>
          <w:szCs w:val="22"/>
        </w:rPr>
        <w:t>(2x30</w:t>
      </w:r>
      <w:r w:rsidRPr="2030048C">
        <w:rPr>
          <w:rFonts w:ascii="Arial" w:eastAsia="Arial" w:hAnsi="Arial" w:cs="Arial"/>
          <w:color w:val="000000" w:themeColor="text1" w:themeShade="FF" w:themeTint="FF"/>
          <w:sz w:val="22"/>
          <w:szCs w:val="22"/>
        </w:rPr>
        <w:t xml:space="preserve"> credits and 1x60 credits)</w:t>
      </w:r>
      <w:r w:rsidRPr="2030048C">
        <w:rPr>
          <w:rFonts w:ascii="Arial" w:eastAsia="Arial" w:hAnsi="Arial" w:cs="Arial"/>
          <w:color w:val="000000" w:themeColor="text1" w:themeShade="FF" w:themeTint="FF"/>
          <w:sz w:val="22"/>
          <w:szCs w:val="22"/>
        </w:rPr>
        <w:t>.</w:t>
      </w:r>
      <w:r w:rsidRPr="2030048C">
        <w:rPr>
          <w:rFonts w:ascii="Arial" w:eastAsia="Arial" w:hAnsi="Arial" w:cs="Arial"/>
          <w:color w:val="000000" w:themeColor="text1" w:themeShade="FF" w:themeTint="FF"/>
          <w:sz w:val="22"/>
          <w:szCs w:val="22"/>
        </w:rPr>
        <w:t xml:space="preserve"> </w:t>
      </w:r>
    </w:p>
    <w:p w:rsidRPr="2030048C" w:rsidP="2030048C">
      <w:pPr>
        <w:pStyle w:val="p"/>
        <w:spacing w:before="0" w:after="0"/>
        <w:ind w:left="0" w:right="0"/>
        <w:jc w:val="both"/>
        <w:rPr>
          <w:rFonts w:ascii="Arial" w:eastAsia="Arial" w:hAnsi="Arial" w:cs="Arial"/>
          <w:color w:val="000000" w:themeColor="text1" w:themeShade="FF" w:themeTint="FF"/>
          <w:sz w:val="22"/>
          <w:szCs w:val="22"/>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Times New Roman" w:eastAsia="Times New Roman" w:hAnsi="Times New Roman" w:cs="Times New Roman"/>
          <w:color w:val="000000" w:themeColor="text1" w:themeShade="FF" w:themeTint="FF"/>
          <w:sz w:val="22"/>
          <w:szCs w:val="22"/>
        </w:rPr>
        <w:br w:type="page"/>
      </w:r>
      <w:r w:rsidRPr="2030048C">
        <w:rPr>
          <w:rFonts w:ascii="Arial" w:eastAsia="Arial" w:hAnsi="Arial" w:cs="Arial"/>
          <w:b/>
          <w:bCs/>
          <w:color w:val="000000" w:themeColor="text1" w:themeShade="FF" w:themeTint="FF"/>
          <w:sz w:val="22"/>
          <w:szCs w:val="22"/>
          <w:u w:val="single"/>
        </w:rPr>
        <w:t>Level 4</w:t>
      </w:r>
      <w:r w:rsidRPr="2030048C">
        <w:rPr>
          <w:rFonts w:ascii="Arial" w:eastAsia="Arial" w:hAnsi="Arial" w:cs="Arial"/>
          <w:b/>
          <w:bCs/>
          <w:color w:val="000000" w:themeColor="text1" w:themeShade="FF" w:themeTint="FF"/>
          <w:sz w:val="22"/>
          <w:szCs w:val="22"/>
          <w:u w:val="single"/>
        </w:rPr>
        <w:t xml:space="preserve"> </w:t>
      </w:r>
    </w:p>
    <w:p w:rsidRPr="2030048C" w:rsidP="2030048C">
      <w:pPr>
        <w:pStyle w:val="p"/>
        <w:spacing w:before="0" w:after="0"/>
        <w:ind w:left="0" w:right="0"/>
        <w:jc w:val="both"/>
        <w:rPr>
          <w:rFonts w:ascii="Arial" w:eastAsia="Arial" w:hAnsi="Arial" w:cs="Arial"/>
          <w:color w:val="000000" w:themeColor="text1" w:themeShade="FF" w:themeTint="FF"/>
          <w:sz w:val="22"/>
          <w:szCs w:val="22"/>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 xml:space="preserve">At Level 4 </w:t>
      </w:r>
      <w:r w:rsidRPr="2030048C">
        <w:rPr>
          <w:rFonts w:ascii="Arial" w:eastAsia="Arial" w:hAnsi="Arial" w:cs="Arial"/>
          <w:color w:val="000000" w:themeColor="text1" w:themeShade="FF" w:themeTint="FF"/>
          <w:sz w:val="22"/>
          <w:szCs w:val="22"/>
        </w:rPr>
        <w:t>the emphasis is on the articulating</w:t>
      </w:r>
      <w:r w:rsidRPr="2030048C">
        <w:rPr>
          <w:rFonts w:ascii="Arial" w:eastAsia="Arial" w:hAnsi="Arial" w:cs="Arial"/>
          <w:color w:val="000000" w:themeColor="text1" w:themeShade="FF" w:themeTint="FF"/>
          <w:sz w:val="22"/>
          <w:szCs w:val="22"/>
        </w:rPr>
        <w:t>,</w:t>
      </w:r>
      <w:r w:rsidRPr="2030048C">
        <w:rPr>
          <w:rFonts w:ascii="Arial" w:eastAsia="Arial" w:hAnsi="Arial" w:cs="Arial"/>
          <w:color w:val="000000" w:themeColor="text1" w:themeShade="FF" w:themeTint="FF"/>
          <w:sz w:val="22"/>
          <w:szCs w:val="22"/>
        </w:rPr>
        <w:t xml:space="preserve"> analyzing, interpreting and understanding the embodied </w:t>
      </w:r>
      <w:r w:rsidRPr="2030048C">
        <w:rPr>
          <w:rFonts w:ascii="Arial" w:eastAsia="Arial" w:hAnsi="Arial" w:cs="Arial"/>
          <w:color w:val="000000" w:themeColor="text1" w:themeShade="FF" w:themeTint="FF"/>
          <w:sz w:val="22"/>
          <w:szCs w:val="22"/>
        </w:rPr>
        <w:t>knowledge</w:t>
      </w:r>
      <w:r w:rsidRPr="2030048C">
        <w:rPr>
          <w:rFonts w:ascii="Arial" w:eastAsia="Arial" w:hAnsi="Arial" w:cs="Arial"/>
          <w:color w:val="000000" w:themeColor="text1" w:themeShade="FF" w:themeTint="FF"/>
          <w:sz w:val="22"/>
          <w:szCs w:val="22"/>
        </w:rPr>
        <w:t xml:space="preserve"> of the students with respect to questions of design. Through each of four modules that make up this level</w:t>
      </w:r>
      <w:r w:rsidRPr="2030048C">
        <w:rPr>
          <w:rFonts w:ascii="Arial" w:eastAsia="Arial" w:hAnsi="Arial" w:cs="Arial"/>
          <w:color w:val="000000" w:themeColor="text1" w:themeShade="FF" w:themeTint="FF"/>
          <w:sz w:val="22"/>
          <w:szCs w:val="22"/>
        </w:rPr>
        <w:t>,</w:t>
      </w:r>
      <w:r w:rsidRPr="2030048C">
        <w:rPr>
          <w:rFonts w:ascii="Arial" w:eastAsia="Arial" w:hAnsi="Arial" w:cs="Arial"/>
          <w:color w:val="000000" w:themeColor="text1" w:themeShade="FF" w:themeTint="FF"/>
          <w:sz w:val="22"/>
          <w:szCs w:val="22"/>
        </w:rPr>
        <w:t xml:space="preserve"> students are encouraged to turn their </w:t>
      </w:r>
      <w:r w:rsidRPr="2030048C">
        <w:rPr>
          <w:rFonts w:ascii="Arial" w:eastAsia="Arial" w:hAnsi="Arial" w:cs="Arial"/>
          <w:color w:val="000000" w:themeColor="text1" w:themeShade="FF" w:themeTint="FF"/>
          <w:sz w:val="22"/>
          <w:szCs w:val="22"/>
        </w:rPr>
        <w:t>implicit knowledge into an explicit and general form. Also important at this level is a preliminary introduction of students to disciplinary/</w:t>
      </w:r>
      <w:r w:rsidRPr="2030048C">
        <w:rPr>
          <w:rFonts w:ascii="Arial" w:eastAsia="Arial" w:hAnsi="Arial" w:cs="Arial"/>
          <w:color w:val="000000" w:themeColor="text1" w:themeShade="FF" w:themeTint="FF"/>
          <w:sz w:val="22"/>
          <w:szCs w:val="22"/>
        </w:rPr>
        <w:t>trans contextual</w:t>
      </w:r>
      <w:r w:rsidRPr="2030048C">
        <w:rPr>
          <w:rFonts w:ascii="Arial" w:eastAsia="Arial" w:hAnsi="Arial" w:cs="Arial"/>
          <w:color w:val="000000" w:themeColor="text1" w:themeShade="FF" w:themeTint="FF"/>
          <w:sz w:val="22"/>
          <w:szCs w:val="22"/>
        </w:rPr>
        <w:t xml:space="preserve"> forms of knowledge. </w:t>
      </w:r>
      <w:r w:rsidRPr="2030048C">
        <w:rPr>
          <w:rFonts w:ascii="Arial" w:eastAsia="Arial" w:hAnsi="Arial" w:cs="Arial"/>
          <w:color w:val="000000" w:themeColor="text1" w:themeShade="FF" w:themeTint="FF"/>
          <w:sz w:val="22"/>
          <w:szCs w:val="22"/>
        </w:rPr>
        <w:t xml:space="preserve">A further point of note at this level is </w:t>
      </w:r>
      <w:r w:rsidRPr="2030048C">
        <w:rPr>
          <w:rFonts w:ascii="Arial" w:eastAsia="Arial" w:hAnsi="Arial" w:cs="Arial"/>
          <w:color w:val="000000" w:themeColor="text1" w:themeShade="FF" w:themeTint="FF"/>
          <w:sz w:val="22"/>
          <w:szCs w:val="22"/>
        </w:rPr>
        <w:t>that while</w:t>
      </w:r>
      <w:r w:rsidRPr="2030048C">
        <w:rPr>
          <w:rFonts w:ascii="Arial" w:eastAsia="Arial" w:hAnsi="Arial" w:cs="Arial"/>
          <w:color w:val="000000" w:themeColor="text1" w:themeShade="FF" w:themeTint="FF"/>
          <w:sz w:val="22"/>
          <w:szCs w:val="22"/>
        </w:rPr>
        <w:t xml:space="preserve"> the </w:t>
      </w:r>
      <w:r w:rsidRPr="2030048C">
        <w:rPr>
          <w:rFonts w:ascii="Arial" w:eastAsia="Arial" w:hAnsi="Arial" w:cs="Arial"/>
          <w:color w:val="000000" w:themeColor="text1" w:themeShade="FF" w:themeTint="FF"/>
          <w:sz w:val="22"/>
          <w:szCs w:val="22"/>
        </w:rPr>
        <w:t xml:space="preserve">projects </w:t>
      </w:r>
      <w:r w:rsidRPr="2030048C">
        <w:rPr>
          <w:rFonts w:ascii="Arial" w:eastAsia="Arial" w:hAnsi="Arial" w:cs="Arial"/>
          <w:color w:val="000000" w:themeColor="text1" w:themeShade="FF" w:themeTint="FF"/>
          <w:sz w:val="22"/>
          <w:szCs w:val="22"/>
        </w:rPr>
        <w:t>in this level focus</w:t>
      </w:r>
      <w:r w:rsidRPr="2030048C">
        <w:rPr>
          <w:rFonts w:ascii="Arial" w:eastAsia="Arial" w:hAnsi="Arial" w:cs="Arial"/>
          <w:color w:val="000000" w:themeColor="text1" w:themeShade="FF" w:themeTint="FF"/>
          <w:sz w:val="22"/>
          <w:szCs w:val="22"/>
        </w:rPr>
        <w:t xml:space="preserve"> on the articulation, understanding, interpretation</w:t>
      </w:r>
      <w:r w:rsidRPr="2030048C">
        <w:rPr>
          <w:rFonts w:ascii="Arial" w:eastAsia="Arial" w:hAnsi="Arial" w:cs="Arial"/>
          <w:color w:val="000000" w:themeColor="text1" w:themeShade="FF" w:themeTint="FF"/>
          <w:sz w:val="22"/>
          <w:szCs w:val="22"/>
        </w:rPr>
        <w:t xml:space="preserve"> of their embodied knowledges, they are also geared to help students develop and engage </w:t>
      </w:r>
      <w:r w:rsidRPr="2030048C">
        <w:rPr>
          <w:rFonts w:ascii="Arial" w:eastAsia="Arial" w:hAnsi="Arial" w:cs="Arial"/>
          <w:color w:val="000000" w:themeColor="text1" w:themeShade="FF" w:themeTint="FF"/>
          <w:sz w:val="22"/>
          <w:szCs w:val="22"/>
        </w:rPr>
        <w:t xml:space="preserve">with graphic, tactile, visual, </w:t>
      </w:r>
      <w:r w:rsidRPr="2030048C">
        <w:rPr>
          <w:rFonts w:ascii="Arial" w:eastAsia="Arial" w:hAnsi="Arial" w:cs="Arial"/>
          <w:color w:val="000000" w:themeColor="text1" w:themeShade="FF" w:themeTint="FF"/>
          <w:sz w:val="22"/>
          <w:szCs w:val="22"/>
        </w:rPr>
        <w:t xml:space="preserve">analytical and conceptual skills. </w:t>
      </w:r>
      <w:r w:rsidRPr="2030048C">
        <w:rPr>
          <w:rFonts w:ascii="Arial" w:eastAsia="Arial" w:hAnsi="Arial" w:cs="Arial"/>
          <w:color w:val="000000" w:themeColor="text1" w:themeShade="FF" w:themeTint="FF"/>
          <w:sz w:val="22"/>
          <w:szCs w:val="22"/>
        </w:rPr>
        <w:t xml:space="preserve"> </w:t>
      </w:r>
    </w:p>
    <w:p w:rsidRPr="2030048C" w:rsidP="2030048C">
      <w:pPr>
        <w:pStyle w:val="p"/>
        <w:spacing w:before="0" w:after="0"/>
        <w:ind w:left="0" w:right="0"/>
        <w:jc w:val="both"/>
        <w:rPr>
          <w:rFonts w:ascii="Arial" w:eastAsia="Arial" w:hAnsi="Arial" w:cs="Arial"/>
          <w:color w:val="FF0000" w:themeColor="text1" w:themeShade="FF" w:themeTint="FF"/>
          <w:sz w:val="22"/>
          <w:szCs w:val="22"/>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 xml:space="preserve">Curriculum areas include: </w:t>
      </w:r>
    </w:p>
    <w:p w:rsidRPr="2030048C" w:rsidP="2030048C">
      <w:pPr>
        <w:pStyle w:val="p"/>
        <w:spacing w:before="0" w:after="0"/>
        <w:ind w:left="360" w:right="0"/>
        <w:jc w:val="both"/>
        <w:rPr>
          <w:rFonts w:ascii="Arial" w:eastAsia="Arial" w:hAnsi="Arial" w:cs="Arial"/>
          <w:color w:val="000000" w:themeColor="text1" w:themeShade="FF" w:themeTint="FF"/>
          <w:sz w:val="22"/>
          <w:szCs w:val="22"/>
        </w:rPr>
      </w:pP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Introduction to contemporary debates on context across various disciplinary areas such as history, anthropology, design, etc.</w:t>
      </w: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 xml:space="preserve">Interrelationship between context and design </w:t>
      </w: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Research methods and analysis techniques, Design as negotiation and meaning making; through practical project work – research, observation, documentation, idea generation, concept development, proposition, iteration, evaluation, and communication.</w:t>
      </w: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Engagement with context, realization and personal and professional development.</w:t>
      </w: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Documentation and communication techniques. Materials and materiality and their relationship to design realization.</w:t>
      </w: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Practical workshop and studio-based iteration in a design context.</w:t>
      </w: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Exploration of the creative use of materials and technologies.</w:t>
      </w: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 xml:space="preserve">Virtual methods of design realization. </w:t>
      </w:r>
    </w:p>
    <w:p w:rsidRPr="2030048C" w:rsidP="2030048C">
      <w:pPr>
        <w:pStyle w:val="li"/>
        <w:numPr>
          <w:ilvl w:val="0"/>
          <w:numId w:val="16"/>
        </w:numPr>
        <w:pBdr>
          <w:left w:val="none" w:sz="0" w:space="7" w:color="auto"/>
        </w:pBdr>
        <w:spacing w:before="0" w:after="0"/>
        <w:ind w:left="720" w:right="0" w:hanging="519"/>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 xml:space="preserve">Health and safety, </w:t>
      </w:r>
      <w:r w:rsidRPr="2030048C">
        <w:rPr>
          <w:rFonts w:ascii="Arial" w:eastAsia="Arial" w:hAnsi="Arial" w:cs="Arial"/>
          <w:color w:val="000000" w:themeColor="text1" w:themeShade="FF" w:themeTint="FF"/>
          <w:sz w:val="22"/>
          <w:szCs w:val="22"/>
        </w:rPr>
        <w:t xml:space="preserve">Ethicality, Criticality, </w:t>
      </w:r>
      <w:r w:rsidRPr="2030048C">
        <w:rPr>
          <w:rFonts w:ascii="Arial" w:eastAsia="Arial" w:hAnsi="Arial" w:cs="Arial"/>
          <w:color w:val="000000" w:themeColor="text1" w:themeShade="FF" w:themeTint="FF"/>
          <w:sz w:val="22"/>
          <w:szCs w:val="22"/>
        </w:rPr>
        <w:t>Entrepreneuriality</w:t>
      </w:r>
      <w:r w:rsidRPr="2030048C">
        <w:rPr>
          <w:rFonts w:ascii="Arial" w:eastAsia="Arial" w:hAnsi="Arial" w:cs="Arial"/>
          <w:color w:val="000000" w:themeColor="text1" w:themeShade="FF" w:themeTint="FF"/>
          <w:sz w:val="22"/>
          <w:szCs w:val="22"/>
        </w:rPr>
        <w:t>, Professionalism and Professional culture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Fashion Design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Fashion Design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CONTEXT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II4001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DESIGN REALIZATION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II4003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II4004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PROCESS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II4002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in Fashion Design; Communication Design; Interior Architecture &amp; Design.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Having articulated their embodied knowledges and with a preliminary exposure to disciplinary forms of knowledges, the four modules of Level 5 immerse students through various projects and assignments into a process of mediating between their articulations of knowledges and already existing forms of articulated disciplinary knowledges. Here the project based studio style of learning takes especial prominence as students engage with the practices and ideas of their chosen field through increasingly challenging projects.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Curriculum areas include:  </w:t>
      </w:r>
    </w:p>
    <w:p w:rsidR="7A33046F" w:rsidRPr="2030048C" w:rsidP="2030048C">
      <w:pPr>
        <w:numPr>
          <w:ilvl w:val="0"/>
          <w:numId w:val="17"/>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Translation of literal and figurative contexts within design process and realization. </w:t>
      </w:r>
    </w:p>
    <w:p w:rsidR="7A33046F" w:rsidRPr="2030048C" w:rsidP="2030048C">
      <w:pPr>
        <w:numPr>
          <w:ilvl w:val="0"/>
          <w:numId w:val="17"/>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Critical analysis and articulation of context and design. Design as translation, grafting, palimpsest; because-of vs. in-order-to as design. </w:t>
      </w:r>
    </w:p>
    <w:p w:rsidR="7A33046F" w:rsidRPr="2030048C" w:rsidP="2030048C">
      <w:pPr>
        <w:numPr>
          <w:ilvl w:val="0"/>
          <w:numId w:val="17"/>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Design problematic.  </w:t>
      </w:r>
    </w:p>
    <w:p w:rsidR="7A33046F" w:rsidRPr="2030048C" w:rsidP="2030048C">
      <w:pPr>
        <w:numPr>
          <w:ilvl w:val="0"/>
          <w:numId w:val="17"/>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Immersion into materials and manufacturing processes. </w:t>
      </w:r>
    </w:p>
    <w:p w:rsidR="7A33046F" w:rsidRPr="2030048C" w:rsidP="2030048C">
      <w:pPr>
        <w:numPr>
          <w:ilvl w:val="0"/>
          <w:numId w:val="17"/>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Practical development of workshop and studio-based model making techniques in a design context. </w:t>
      </w:r>
    </w:p>
    <w:p w:rsidR="7A33046F"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Virtual methods of design realization. Ethics, Critical thinking </w:t>
      </w:r>
    </w:p>
    <w:p w:rsidR="7A33046F"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Networking, leadership, team working </w:t>
      </w:r>
    </w:p>
    <w:p w:rsidR="7A33046F"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Developing design practice models </w:t>
      </w:r>
    </w:p>
    <w:p w:rsidR="7A33046F"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Practice logistics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Fashion Design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CONTEXT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II5001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DESIGN REALIZATION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II5003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II5004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PROCESS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II5002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240 credits are eligible for the award of Diploma of Higher Education in Fashion Design; Communication Design; Interior Architecture &amp; Design.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final level (Level 6) of the programme is divided into two stages comprising 60 credits each. In the first phase, students continue their efforts at translating and mediating knowledge but with a transition towards developing their own designs philosophies and practice. This essentially works as a preparation for the remaining 60 credits of Level 6, where students work on a capstone project. This project 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situatedness in chosen contexts, their ability to critically evaluate these through design but also develop essential skills of running a successful design practice.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Curriculum areas include: </w:t>
      </w:r>
    </w:p>
    <w:p w:rsidR="3891A81D" w:rsidRPr="2030048C" w:rsidP="2030048C">
      <w:pPr>
        <w:numPr>
          <w:ilvl w:val="0"/>
          <w:numId w:val="19"/>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Translation of literal and figurative contexts within design process and realization. </w:t>
      </w:r>
    </w:p>
    <w:p w:rsidR="3891A81D" w:rsidRPr="2030048C" w:rsidP="2030048C">
      <w:pPr>
        <w:numPr>
          <w:ilvl w:val="0"/>
          <w:numId w:val="19"/>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Critical analysis and articulation of context and design. Critical self-reflection on previous design projects and experiences, leading to a skills/aspirations/knowledge and understanding audit. </w:t>
      </w:r>
    </w:p>
    <w:p w:rsidR="3891A81D" w:rsidRPr="2030048C" w:rsidP="2030048C">
      <w:pPr>
        <w:numPr>
          <w:ilvl w:val="0"/>
          <w:numId w:val="19"/>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Self-initiated investigation and research of Major Design Project theme/s and field of study acknowledging context, need and objective. </w:t>
      </w:r>
    </w:p>
    <w:p w:rsidR="3891A81D" w:rsidRPr="2030048C" w:rsidP="2030048C">
      <w:pPr>
        <w:numPr>
          <w:ilvl w:val="0"/>
          <w:numId w:val="19"/>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Considered investigation and application of materials, technologies and processes throughout the development, realisation and presentation.  </w:t>
      </w:r>
    </w:p>
    <w:p w:rsidR="3891A81D" w:rsidRPr="2030048C" w:rsidP="2030048C">
      <w:pPr>
        <w:numPr>
          <w:ilvl w:val="0"/>
          <w:numId w:val="19"/>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Self-directed testing and production of project development iterations.  </w:t>
      </w:r>
    </w:p>
    <w:p w:rsidR="3891A81D" w:rsidRPr="2030048C" w:rsidP="2030048C">
      <w:pPr>
        <w:numPr>
          <w:ilvl w:val="0"/>
          <w:numId w:val="20"/>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Critical self-reflection on the Personal Design Project development process and outcome. </w:t>
      </w:r>
    </w:p>
    <w:p w:rsidR="3891A81D" w:rsidRPr="2030048C" w:rsidP="2030048C">
      <w:pPr>
        <w:numPr>
          <w:ilvl w:val="0"/>
          <w:numId w:val="20"/>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Practice related documentary development.  </w:t>
      </w:r>
    </w:p>
    <w:p w:rsidR="3891A81D" w:rsidRPr="2030048C" w:rsidP="2030048C">
      <w:pPr>
        <w:numPr>
          <w:ilvl w:val="0"/>
          <w:numId w:val="20"/>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Exit strategy, research into employment opportunities and or opportunities for further study.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Fashion Design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CONTEXT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II6001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MAJOR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II6003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II6002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all modules.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This course permits progression from Level 4 to Level 5 with 90 credits at Level 4 or above. The outstanding 30 credits from Level 4 can be trailed into Level 5 and must be passed before progression to Level 6.</w:t>
      </w: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Students exiting the </w:t>
      </w:r>
      <w:r w:rsidRPr="2030048C">
        <w:rPr>
          <w:rFonts w:ascii="Arial" w:eastAsia="Arial" w:hAnsi="Arial" w:cs="Arial"/>
          <w:sz w:val="22"/>
          <w:szCs w:val="22"/>
        </w:rPr>
        <w:t>programme</w:t>
      </w:r>
      <w:r w:rsidRPr="2030048C">
        <w:rPr>
          <w:rFonts w:ascii="Arial" w:eastAsia="Arial" w:hAnsi="Arial" w:cs="Arial"/>
          <w:sz w:val="22"/>
          <w:szCs w:val="22"/>
        </w:rPr>
        <w:t xml:space="preserve"> at this point who have successfully completed 120 credits are eligible for the award of Certificate of Higher Education </w:t>
      </w:r>
      <w:r w:rsidRPr="2030048C">
        <w:rPr>
          <w:rFonts w:ascii="Arial" w:eastAsia="Arial" w:hAnsi="Arial" w:cs="Arial"/>
          <w:sz w:val="22"/>
          <w:szCs w:val="22"/>
        </w:rPr>
        <w:t xml:space="preserve">in </w:t>
      </w:r>
      <w:r w:rsidRPr="2030048C">
        <w:rPr>
          <w:rFonts w:ascii="Arial" w:eastAsia="Arial" w:hAnsi="Arial" w:cs="Arial"/>
          <w:b/>
          <w:bCs/>
          <w:sz w:val="22"/>
          <w:szCs w:val="22"/>
        </w:rPr>
        <w:t>Fashion Design</w:t>
      </w:r>
      <w:r w:rsidRPr="2030048C">
        <w:rPr>
          <w:rFonts w:ascii="Arial" w:eastAsia="Arial" w:hAnsi="Arial" w:cs="Arial"/>
          <w:sz w:val="22"/>
          <w:szCs w:val="22"/>
        </w:rPr>
        <w:t>; Communication Design; Interior Architecture &amp; Design.</w:t>
      </w: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u w:val="single"/>
        </w:rPr>
        <w:t>Level 5</w:t>
      </w:r>
      <w:r w:rsidRPr="2030048C">
        <w:rPr>
          <w:rFonts w:ascii="Arial" w:eastAsia="Arial" w:hAnsi="Arial" w:cs="Arial"/>
          <w:b/>
          <w:bCs/>
          <w:sz w:val="22"/>
          <w:szCs w:val="22"/>
          <w:u w:val="single"/>
        </w:rPr>
        <w:t xml:space="preserve"> </w:t>
      </w:r>
    </w:p>
    <w:p w:rsidRPr="2030048C" w:rsidP="2030048C">
      <w:pPr>
        <w:pStyle w:val="p"/>
        <w:spacing w:before="0" w:after="0"/>
        <w:ind w:left="0" w:right="0"/>
        <w:jc w:val="both"/>
        <w:rPr>
          <w:rFonts w:ascii="Arial" w:eastAsia="Arial" w:hAnsi="Arial" w:cs="Arial"/>
          <w:sz w:val="22"/>
          <w:szCs w:val="22"/>
        </w:rPr>
      </w:pPr>
    </w:p>
    <w:p w:rsidRPr="2030048C" w:rsidP="2030048C">
      <w:pPr>
        <w:pStyle w:val="HTMLPreformatted"/>
        <w:spacing w:before="0" w:after="0"/>
        <w:ind w:left="0" w:right="0"/>
        <w:jc w:val="both"/>
        <w:rPr>
          <w:rFonts w:ascii="Arial Unicode MS" w:eastAsia="Arial Unicode MS" w:hAnsi="Arial Unicode MS" w:cs="Arial Unicode MS"/>
          <w:color w:val="000000"/>
          <w:sz w:val="22"/>
          <w:szCs w:val="22"/>
        </w:rPr>
      </w:pPr>
      <w:r w:rsidRPr="2030048C">
        <w:rPr>
          <w:rFonts w:ascii="Arial" w:eastAsia="Arial" w:hAnsi="Arial" w:cs="Arial"/>
          <w:color w:val="000000"/>
          <w:sz w:val="22"/>
          <w:szCs w:val="22"/>
        </w:rPr>
        <w:t xml:space="preserve">Having articulated their embodied knowledges and with a preliminary exposure to disciplinary forms of knowledges, the </w:t>
      </w:r>
      <w:r w:rsidRPr="2030048C">
        <w:rPr>
          <w:rFonts w:ascii="Arial" w:eastAsia="Arial" w:hAnsi="Arial" w:cs="Arial"/>
          <w:color w:val="000000"/>
          <w:sz w:val="22"/>
          <w:szCs w:val="22"/>
        </w:rPr>
        <w:t xml:space="preserve">four </w:t>
      </w:r>
      <w:r w:rsidRPr="2030048C">
        <w:rPr>
          <w:rFonts w:ascii="Arial" w:eastAsia="Arial" w:hAnsi="Arial" w:cs="Arial"/>
          <w:color w:val="000000"/>
          <w:sz w:val="22"/>
          <w:szCs w:val="22"/>
        </w:rPr>
        <w:t xml:space="preserve">modules of Level 5 immerse students through various projects and assignments </w:t>
      </w:r>
      <w:r w:rsidRPr="2030048C">
        <w:rPr>
          <w:rFonts w:ascii="Arial" w:eastAsia="Arial" w:hAnsi="Arial" w:cs="Arial"/>
          <w:color w:val="000000"/>
          <w:sz w:val="22"/>
          <w:szCs w:val="22"/>
        </w:rPr>
        <w:t>into</w:t>
      </w:r>
      <w:r w:rsidRPr="2030048C">
        <w:rPr>
          <w:rFonts w:ascii="Arial" w:eastAsia="Arial" w:hAnsi="Arial" w:cs="Arial"/>
          <w:color w:val="000000"/>
          <w:sz w:val="22"/>
          <w:szCs w:val="22"/>
        </w:rPr>
        <w:t xml:space="preserve"> a process of mediating between their articulations of knowledges and already existing forms of articulated disciplinary knowledges. Here the </w:t>
      </w:r>
      <w:r w:rsidRPr="2030048C">
        <w:rPr>
          <w:rFonts w:ascii="Arial" w:eastAsia="Arial" w:hAnsi="Arial" w:cs="Arial"/>
          <w:color w:val="000000"/>
          <w:sz w:val="22"/>
          <w:szCs w:val="22"/>
        </w:rPr>
        <w:t xml:space="preserve">project based </w:t>
      </w:r>
      <w:r w:rsidRPr="2030048C">
        <w:rPr>
          <w:rFonts w:ascii="Arial" w:eastAsia="Arial" w:hAnsi="Arial" w:cs="Arial"/>
          <w:color w:val="000000"/>
          <w:sz w:val="22"/>
          <w:szCs w:val="22"/>
        </w:rPr>
        <w:t xml:space="preserve">studio </w:t>
      </w:r>
      <w:r w:rsidRPr="2030048C">
        <w:rPr>
          <w:rFonts w:ascii="Arial" w:eastAsia="Arial" w:hAnsi="Arial" w:cs="Arial"/>
          <w:color w:val="000000"/>
          <w:sz w:val="22"/>
          <w:szCs w:val="22"/>
        </w:rPr>
        <w:t xml:space="preserve">style of learning takes especial prominence </w:t>
      </w:r>
      <w:r w:rsidRPr="2030048C">
        <w:rPr>
          <w:rFonts w:ascii="Arial" w:eastAsia="Arial" w:hAnsi="Arial" w:cs="Arial"/>
          <w:color w:val="000000"/>
          <w:sz w:val="22"/>
          <w:szCs w:val="22"/>
        </w:rPr>
        <w:t>as students engage with the practices and ideas of their chosen field through</w:t>
      </w:r>
      <w:r w:rsidRPr="2030048C">
        <w:rPr>
          <w:rFonts w:ascii="Arial" w:eastAsia="Arial" w:hAnsi="Arial" w:cs="Arial"/>
          <w:color w:val="000000"/>
          <w:sz w:val="22"/>
          <w:szCs w:val="22"/>
        </w:rPr>
        <w:t xml:space="preserve"> increasingly challenging </w:t>
      </w:r>
      <w:r w:rsidRPr="2030048C">
        <w:rPr>
          <w:rFonts w:ascii="Arial" w:eastAsia="Arial" w:hAnsi="Arial" w:cs="Arial"/>
          <w:color w:val="000000"/>
          <w:sz w:val="22"/>
          <w:szCs w:val="22"/>
        </w:rPr>
        <w:t xml:space="preserve">projects. </w:t>
      </w:r>
    </w:p>
    <w:p w:rsidRPr="2030048C" w:rsidP="2030048C">
      <w:pPr>
        <w:pStyle w:val="HTMLPreformatted"/>
        <w:spacing w:before="0" w:after="0"/>
        <w:ind w:left="0" w:right="0"/>
        <w:jc w:val="both"/>
        <w:rPr>
          <w:rFonts w:ascii="Arial" w:eastAsia="Arial" w:hAnsi="Arial" w:cs="Arial"/>
          <w:color w:val="000000"/>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Curriculum areas include:</w:t>
      </w:r>
      <w:r w:rsidRPr="2030048C">
        <w:rPr>
          <w:rFonts w:ascii="Arial" w:eastAsia="Arial" w:hAnsi="Arial" w:cs="Arial"/>
          <w:sz w:val="22"/>
          <w:szCs w:val="22"/>
        </w:rPr>
        <w:t xml:space="preserve"> </w:t>
      </w:r>
    </w:p>
    <w:p w:rsidRPr="2030048C" w:rsidP="2030048C">
      <w:pPr>
        <w:pStyle w:val="ListParagraph0"/>
        <w:numPr>
          <w:ilvl w:val="0"/>
          <w:numId w:val="21"/>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Translation of literal and figurative contexts within design process and realization.</w:t>
      </w:r>
    </w:p>
    <w:p w:rsidRPr="2030048C" w:rsidP="2030048C">
      <w:pPr>
        <w:pStyle w:val="li"/>
        <w:numPr>
          <w:ilvl w:val="0"/>
          <w:numId w:val="21"/>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Critical analysis and articulation of context and design.</w:t>
      </w:r>
      <w:r w:rsidRPr="2030048C">
        <w:rPr>
          <w:rFonts w:ascii="Arial" w:eastAsia="Arial" w:hAnsi="Arial" w:cs="Arial"/>
          <w:sz w:val="22"/>
          <w:szCs w:val="22"/>
        </w:rPr>
        <w:t xml:space="preserve"> Design as translation, grafting, palimpsest; because-of vs. in-order-to as design.</w:t>
      </w:r>
    </w:p>
    <w:p w:rsidRPr="2030048C" w:rsidP="2030048C">
      <w:pPr>
        <w:pStyle w:val="li"/>
        <w:numPr>
          <w:ilvl w:val="0"/>
          <w:numId w:val="21"/>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Design problematic. </w:t>
      </w:r>
    </w:p>
    <w:p w:rsidRPr="2030048C" w:rsidP="2030048C">
      <w:pPr>
        <w:pStyle w:val="ListParagraph0"/>
        <w:numPr>
          <w:ilvl w:val="0"/>
          <w:numId w:val="21"/>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Immersion into materials and manufacturing processes.</w:t>
      </w:r>
    </w:p>
    <w:p w:rsidRPr="2030048C" w:rsidP="2030048C">
      <w:pPr>
        <w:pStyle w:val="ListParagraph0"/>
        <w:numPr>
          <w:ilvl w:val="0"/>
          <w:numId w:val="21"/>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Practical development of workshop and studio-based model making techniques in a design context.</w:t>
      </w:r>
    </w:p>
    <w:p w:rsidRPr="2030048C" w:rsidP="2030048C">
      <w:pPr>
        <w:pStyle w:val="li"/>
        <w:numPr>
          <w:ilvl w:val="0"/>
          <w:numId w:val="21"/>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Virtual methods of design realization. </w:t>
      </w:r>
      <w:r w:rsidRPr="2030048C">
        <w:rPr>
          <w:rFonts w:ascii="Arial" w:eastAsia="Arial" w:hAnsi="Arial" w:cs="Arial"/>
          <w:sz w:val="22"/>
          <w:szCs w:val="22"/>
        </w:rPr>
        <w:t>Ethics, Critical thinking</w:t>
      </w:r>
    </w:p>
    <w:p w:rsidRPr="2030048C" w:rsidP="2030048C">
      <w:pPr>
        <w:pStyle w:val="li"/>
        <w:numPr>
          <w:ilvl w:val="0"/>
          <w:numId w:val="21"/>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Networking, leadership, team working</w:t>
      </w:r>
    </w:p>
    <w:p w:rsidRPr="2030048C" w:rsidP="2030048C">
      <w:pPr>
        <w:pStyle w:val="li"/>
        <w:numPr>
          <w:ilvl w:val="0"/>
          <w:numId w:val="21"/>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Developing design practice </w:t>
      </w:r>
      <w:r w:rsidRPr="2030048C">
        <w:rPr>
          <w:rFonts w:ascii="Arial" w:eastAsia="Arial" w:hAnsi="Arial" w:cs="Arial"/>
          <w:sz w:val="22"/>
          <w:szCs w:val="22"/>
        </w:rPr>
        <w:t>models</w:t>
      </w:r>
    </w:p>
    <w:p w:rsidRPr="2030048C" w:rsidP="2030048C">
      <w:pPr>
        <w:pStyle w:val="li"/>
        <w:numPr>
          <w:ilvl w:val="0"/>
          <w:numId w:val="21"/>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Practice logistics</w:t>
      </w:r>
    </w:p>
    <w:p w:rsidRPr="2030048C" w:rsidP="2030048C">
      <w:pPr>
        <w:pStyle w:val="p"/>
        <w:spacing w:before="0" w:after="0"/>
        <w:ind w:left="0" w:right="0"/>
        <w:jc w:val="both"/>
        <w:rPr>
          <w:rFonts w:ascii="Arial" w:eastAsia="Arial" w:hAnsi="Arial" w:cs="Arial"/>
          <w:sz w:val="22"/>
          <w:szCs w:val="22"/>
        </w:rPr>
      </w:pPr>
    </w:p>
    <w:tbl>
      <w:tblPr>
        <w:tblStyle w:val="table"/>
        <w:tblW w:w="8866"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
      <w:tblGrid>
        <w:gridCol w:w="3437"/>
        <w:gridCol w:w="1332"/>
        <w:gridCol w:w="1258"/>
        <w:gridCol w:w="1224"/>
        <w:gridCol w:w="1585"/>
      </w:tblGrid>
      <w:tr>
        <w:tblPrEx>
          <w:tblW w:w="8866" w:type="dxa"/>
          <w:tblLook w:val="05E0"/>
        </w:tblPrEx>
        <w:tc>
          <w:tcPr>
            <w:tcW w:w="4395" w:type="dxa"/>
            <w:tcBorders>
              <w:bottom w:val="single" w:sz="6" w:space="0" w:color="auto"/>
              <w:right w:val="single" w:sz="6" w:space="0" w:color="auto"/>
            </w:tcBorders>
            <w:shd w:val="clear" w:color="auto" w:fill="DBE5F1"/>
            <w:noWrap w:val="0"/>
            <w:tcMar>
              <w:top w:w="0" w:type="dxa"/>
              <w:left w:w="116" w:type="dxa"/>
              <w:bottom w:w="136" w:type="dxa"/>
              <w:right w:w="116" w:type="dxa"/>
            </w:tcMar>
            <w:vAlign w:val="top"/>
            <w:hideMark/>
          </w:tcPr>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shd w:val="clear" w:color="auto" w:fill="FFFF00"/>
              </w:rPr>
              <w:t>Compulsory Modules</w:t>
            </w:r>
          </w:p>
        </w:tc>
        <w:tc>
          <w:tcPr>
            <w:tcW w:w="1100" w:type="dxa"/>
            <w:tcBorders>
              <w:left w:val="single" w:sz="6" w:space="0" w:color="auto"/>
              <w:bottom w:val="single" w:sz="6" w:space="0" w:color="auto"/>
              <w:right w:val="single" w:sz="6" w:space="0" w:color="auto"/>
            </w:tcBorders>
            <w:shd w:val="clear" w:color="auto" w:fill="DBE5F1"/>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b/>
                <w:bCs/>
                <w:sz w:val="22"/>
                <w:szCs w:val="22"/>
                <w:shd w:val="clear" w:color="auto" w:fill="FFFF00"/>
              </w:rPr>
              <w:t>Module Code</w:t>
            </w:r>
          </w:p>
        </w:tc>
        <w:tc>
          <w:tcPr>
            <w:tcW w:w="1026" w:type="dxa"/>
            <w:tcBorders>
              <w:left w:val="single" w:sz="6" w:space="0" w:color="auto"/>
              <w:bottom w:val="single" w:sz="6" w:space="0" w:color="auto"/>
              <w:right w:val="single" w:sz="6" w:space="0" w:color="auto"/>
            </w:tcBorders>
            <w:shd w:val="clear" w:color="auto" w:fill="DBE5F1"/>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b/>
                <w:bCs/>
                <w:sz w:val="22"/>
                <w:szCs w:val="22"/>
                <w:shd w:val="clear" w:color="auto" w:fill="FFFF00"/>
              </w:rPr>
              <w:t>Credit Value</w:t>
            </w:r>
          </w:p>
        </w:tc>
        <w:tc>
          <w:tcPr>
            <w:tcW w:w="992" w:type="dxa"/>
            <w:tcBorders>
              <w:left w:val="single" w:sz="6" w:space="0" w:color="auto"/>
              <w:bottom w:val="single" w:sz="6" w:space="0" w:color="auto"/>
              <w:right w:val="single" w:sz="6" w:space="0" w:color="auto"/>
            </w:tcBorders>
            <w:shd w:val="clear" w:color="auto" w:fill="DBE5F1"/>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b/>
                <w:bCs/>
                <w:sz w:val="22"/>
                <w:szCs w:val="22"/>
                <w:shd w:val="clear" w:color="auto" w:fill="FFFF00"/>
              </w:rPr>
              <w:t>Level</w:t>
            </w:r>
          </w:p>
        </w:tc>
        <w:tc>
          <w:tcPr>
            <w:tcW w:w="1353" w:type="dxa"/>
            <w:tcBorders>
              <w:left w:val="single" w:sz="6" w:space="0" w:color="auto"/>
              <w:bottom w:val="single" w:sz="6" w:space="0" w:color="auto"/>
            </w:tcBorders>
            <w:shd w:val="clear" w:color="auto" w:fill="DBE5F1"/>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b/>
                <w:bCs/>
                <w:sz w:val="22"/>
                <w:szCs w:val="22"/>
                <w:shd w:val="clear" w:color="auto" w:fill="FFFF00"/>
              </w:rPr>
              <w:t>Teaching</w:t>
            </w:r>
          </w:p>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b/>
                <w:bCs/>
                <w:sz w:val="22"/>
                <w:szCs w:val="22"/>
                <w:shd w:val="clear" w:color="auto" w:fill="FFFF00"/>
              </w:rPr>
              <w:t>Block</w:t>
            </w:r>
          </w:p>
        </w:tc>
      </w:tr>
      <w:tr>
        <w:tblPrEx>
          <w:tblW w:w="8866" w:type="dxa"/>
          <w:tblLook w:val="05E0"/>
        </w:tblPrEx>
        <w:tc>
          <w:tcPr>
            <w:tcW w:w="4395" w:type="dxa"/>
            <w:tcBorders>
              <w:top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Context 2</w:t>
            </w:r>
          </w:p>
        </w:tc>
        <w:tc>
          <w:tcPr>
            <w:tcW w:w="1100" w:type="dxa"/>
            <w:tcBorders>
              <w:top w:val="single" w:sz="6" w:space="0" w:color="auto"/>
              <w:left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keepNext/>
              <w:keepLines/>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II5001</w:t>
            </w:r>
          </w:p>
        </w:tc>
        <w:tc>
          <w:tcPr>
            <w:tcW w:w="1026" w:type="dxa"/>
            <w:tcBorders>
              <w:top w:val="single" w:sz="6" w:space="0" w:color="auto"/>
              <w:left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30</w:t>
            </w:r>
          </w:p>
        </w:tc>
        <w:tc>
          <w:tcPr>
            <w:tcW w:w="992" w:type="dxa"/>
            <w:tcBorders>
              <w:top w:val="single" w:sz="6" w:space="0" w:color="auto"/>
              <w:left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5</w:t>
            </w:r>
          </w:p>
        </w:tc>
        <w:tc>
          <w:tcPr>
            <w:tcW w:w="1353" w:type="dxa"/>
            <w:tcBorders>
              <w:top w:val="single" w:sz="6" w:space="0" w:color="auto"/>
              <w:left w:val="single" w:sz="6" w:space="0" w:color="auto"/>
              <w:bottom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1&amp;2</w:t>
            </w:r>
          </w:p>
        </w:tc>
      </w:tr>
      <w:tr>
        <w:tblPrEx>
          <w:tblW w:w="8866" w:type="dxa"/>
          <w:tblLook w:val="05E0"/>
        </w:tblPrEx>
        <w:tc>
          <w:tcPr>
            <w:tcW w:w="4395" w:type="dxa"/>
            <w:tcBorders>
              <w:top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Process 2</w:t>
            </w:r>
          </w:p>
        </w:tc>
        <w:tc>
          <w:tcPr>
            <w:tcW w:w="1100" w:type="dxa"/>
            <w:tcBorders>
              <w:top w:val="single" w:sz="6" w:space="0" w:color="auto"/>
              <w:left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keepNext/>
              <w:keepLines/>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II5002</w:t>
            </w:r>
          </w:p>
        </w:tc>
        <w:tc>
          <w:tcPr>
            <w:tcW w:w="1026" w:type="dxa"/>
            <w:tcBorders>
              <w:top w:val="single" w:sz="6" w:space="0" w:color="auto"/>
              <w:left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30</w:t>
            </w:r>
          </w:p>
        </w:tc>
        <w:tc>
          <w:tcPr>
            <w:tcW w:w="992" w:type="dxa"/>
            <w:tcBorders>
              <w:top w:val="single" w:sz="6" w:space="0" w:color="auto"/>
              <w:left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5</w:t>
            </w:r>
          </w:p>
        </w:tc>
        <w:tc>
          <w:tcPr>
            <w:tcW w:w="1353" w:type="dxa"/>
            <w:tcBorders>
              <w:top w:val="single" w:sz="6" w:space="0" w:color="auto"/>
              <w:left w:val="single" w:sz="6" w:space="0" w:color="auto"/>
              <w:bottom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1&amp;2</w:t>
            </w:r>
          </w:p>
        </w:tc>
      </w:tr>
      <w:tr>
        <w:tblPrEx>
          <w:tblW w:w="8866" w:type="dxa"/>
          <w:tblLook w:val="05E0"/>
        </w:tblPrEx>
        <w:tc>
          <w:tcPr>
            <w:tcW w:w="4395" w:type="dxa"/>
            <w:tcBorders>
              <w:top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Design Realisation 2</w:t>
            </w:r>
          </w:p>
        </w:tc>
        <w:tc>
          <w:tcPr>
            <w:tcW w:w="1100" w:type="dxa"/>
            <w:tcBorders>
              <w:top w:val="single" w:sz="6" w:space="0" w:color="auto"/>
              <w:left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keepNext/>
              <w:keepLines/>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II5003</w:t>
            </w:r>
          </w:p>
        </w:tc>
        <w:tc>
          <w:tcPr>
            <w:tcW w:w="1026" w:type="dxa"/>
            <w:tcBorders>
              <w:top w:val="single" w:sz="6" w:space="0" w:color="auto"/>
              <w:left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30</w:t>
            </w:r>
          </w:p>
        </w:tc>
        <w:tc>
          <w:tcPr>
            <w:tcW w:w="992" w:type="dxa"/>
            <w:tcBorders>
              <w:top w:val="single" w:sz="6" w:space="0" w:color="auto"/>
              <w:left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5</w:t>
            </w:r>
          </w:p>
        </w:tc>
        <w:tc>
          <w:tcPr>
            <w:tcW w:w="1353" w:type="dxa"/>
            <w:tcBorders>
              <w:top w:val="single" w:sz="6" w:space="0" w:color="auto"/>
              <w:left w:val="single" w:sz="6" w:space="0" w:color="auto"/>
              <w:bottom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1&amp;2</w:t>
            </w:r>
          </w:p>
        </w:tc>
      </w:tr>
      <w:tr>
        <w:tblPrEx>
          <w:tblW w:w="8866" w:type="dxa"/>
          <w:tblLook w:val="05E0"/>
        </w:tblPrEx>
        <w:tc>
          <w:tcPr>
            <w:tcW w:w="4395" w:type="dxa"/>
            <w:tcBorders>
              <w:top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Personal &amp; Professional Development 2</w:t>
            </w:r>
          </w:p>
        </w:tc>
        <w:tc>
          <w:tcPr>
            <w:tcW w:w="1100" w:type="dxa"/>
            <w:tcBorders>
              <w:top w:val="single" w:sz="6" w:space="0" w:color="auto"/>
              <w:left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keepNext/>
              <w:keepLines/>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II5004</w:t>
            </w:r>
          </w:p>
        </w:tc>
        <w:tc>
          <w:tcPr>
            <w:tcW w:w="1026" w:type="dxa"/>
            <w:tcBorders>
              <w:top w:val="single" w:sz="6" w:space="0" w:color="auto"/>
              <w:left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30</w:t>
            </w:r>
          </w:p>
        </w:tc>
        <w:tc>
          <w:tcPr>
            <w:tcW w:w="992" w:type="dxa"/>
            <w:tcBorders>
              <w:top w:val="single" w:sz="6" w:space="0" w:color="auto"/>
              <w:left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5</w:t>
            </w:r>
          </w:p>
        </w:tc>
        <w:tc>
          <w:tcPr>
            <w:tcW w:w="1353" w:type="dxa"/>
            <w:tcBorders>
              <w:top w:val="single" w:sz="6" w:space="0" w:color="auto"/>
              <w:lef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1&amp;2</w:t>
            </w:r>
          </w:p>
        </w:tc>
      </w:tr>
    </w:tbl>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This course permits progression from Level 5 to Level 6 with 90 credits at Level 5 or above. The outstanding 30 credits from Level 5 can be trailed into Level 6 and must be passed before consideration for an award or progression to Level 7 (if appropriate).</w:t>
      </w: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Students exiting the </w:t>
      </w:r>
      <w:r w:rsidRPr="2030048C">
        <w:rPr>
          <w:rFonts w:ascii="Arial" w:eastAsia="Arial" w:hAnsi="Arial" w:cs="Arial"/>
          <w:sz w:val="22"/>
          <w:szCs w:val="22"/>
        </w:rPr>
        <w:t>program</w:t>
      </w:r>
      <w:r w:rsidRPr="2030048C">
        <w:rPr>
          <w:rFonts w:ascii="Arial" w:eastAsia="Arial" w:hAnsi="Arial" w:cs="Arial"/>
          <w:sz w:val="22"/>
          <w:szCs w:val="22"/>
        </w:rPr>
        <w:t>me</w:t>
      </w:r>
      <w:r w:rsidRPr="2030048C">
        <w:rPr>
          <w:rFonts w:ascii="Arial" w:eastAsia="Arial" w:hAnsi="Arial" w:cs="Arial"/>
          <w:sz w:val="22"/>
          <w:szCs w:val="22"/>
        </w:rPr>
        <w:t xml:space="preserve"> at this point who have successfully completed </w:t>
      </w:r>
      <w:r w:rsidRPr="2030048C">
        <w:rPr>
          <w:rFonts w:ascii="Arial" w:eastAsia="Arial" w:hAnsi="Arial" w:cs="Arial"/>
          <w:sz w:val="22"/>
          <w:szCs w:val="22"/>
        </w:rPr>
        <w:t xml:space="preserve">240 </w:t>
      </w:r>
      <w:r w:rsidRPr="2030048C">
        <w:rPr>
          <w:rFonts w:ascii="Arial" w:eastAsia="Arial" w:hAnsi="Arial" w:cs="Arial"/>
          <w:sz w:val="22"/>
          <w:szCs w:val="22"/>
        </w:rPr>
        <w:t xml:space="preserve">credits are eligible for the award of Diploma of Higher Education </w:t>
      </w:r>
      <w:r w:rsidRPr="2030048C">
        <w:rPr>
          <w:rFonts w:ascii="Arial" w:eastAsia="Arial" w:hAnsi="Arial" w:cs="Arial"/>
          <w:sz w:val="22"/>
          <w:szCs w:val="22"/>
        </w:rPr>
        <w:t xml:space="preserve">in </w:t>
      </w:r>
      <w:r w:rsidRPr="2030048C">
        <w:rPr>
          <w:rFonts w:ascii="Arial" w:eastAsia="Arial" w:hAnsi="Arial" w:cs="Arial"/>
          <w:b/>
          <w:bCs/>
          <w:sz w:val="22"/>
          <w:szCs w:val="22"/>
        </w:rPr>
        <w:t xml:space="preserve">Fashion </w:t>
      </w:r>
      <w:r w:rsidRPr="2030048C">
        <w:rPr>
          <w:rFonts w:ascii="Arial" w:eastAsia="Arial" w:hAnsi="Arial" w:cs="Arial"/>
          <w:b/>
          <w:bCs/>
          <w:sz w:val="22"/>
          <w:szCs w:val="22"/>
        </w:rPr>
        <w:t>Design</w:t>
      </w:r>
      <w:r w:rsidRPr="2030048C">
        <w:rPr>
          <w:rFonts w:ascii="Arial" w:eastAsia="Arial" w:hAnsi="Arial" w:cs="Arial"/>
          <w:sz w:val="22"/>
          <w:szCs w:val="22"/>
        </w:rPr>
        <w:t>;</w:t>
      </w:r>
      <w:r w:rsidRPr="2030048C">
        <w:rPr>
          <w:rFonts w:ascii="Arial" w:eastAsia="Arial" w:hAnsi="Arial" w:cs="Arial"/>
          <w:sz w:val="22"/>
          <w:szCs w:val="22"/>
        </w:rPr>
        <w:t xml:space="preserve"> </w:t>
      </w:r>
      <w:r w:rsidRPr="2030048C">
        <w:rPr>
          <w:rFonts w:ascii="Arial" w:eastAsia="Arial" w:hAnsi="Arial" w:cs="Arial"/>
          <w:sz w:val="22"/>
          <w:szCs w:val="22"/>
        </w:rPr>
        <w:t>Communication Design; Interior Architecture &amp; Design.</w:t>
      </w:r>
    </w:p>
    <w:p w:rsidRPr="2030048C" w:rsidP="2030048C">
      <w:pPr>
        <w:pStyle w:val="p"/>
        <w:spacing w:before="0" w:after="0"/>
        <w:ind w:left="0" w:right="0"/>
        <w:jc w:val="both"/>
        <w:rPr>
          <w:rFonts w:ascii="Arial" w:eastAsia="Arial" w:hAnsi="Arial" w:cs="Arial"/>
          <w:sz w:val="22"/>
          <w:szCs w:val="22"/>
        </w:rPr>
      </w:pPr>
    </w:p>
    <w:p w:rsidRPr="2030048C" w:rsidP="2030048C">
      <w:pPr>
        <w:pStyle w:val="p"/>
        <w:keepNext/>
        <w:spacing w:before="0" w:after="0"/>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u w:val="single"/>
        </w:rPr>
        <w:t>Level 6</w:t>
      </w: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final level (L</w:t>
      </w:r>
      <w:r w:rsidRPr="2030048C">
        <w:rPr>
          <w:rFonts w:ascii="Arial" w:eastAsia="Arial" w:hAnsi="Arial" w:cs="Arial"/>
          <w:sz w:val="22"/>
          <w:szCs w:val="22"/>
        </w:rPr>
        <w:t xml:space="preserve">evel 6) of the </w:t>
      </w:r>
      <w:r w:rsidRPr="2030048C">
        <w:rPr>
          <w:rFonts w:ascii="Arial" w:eastAsia="Arial" w:hAnsi="Arial" w:cs="Arial"/>
          <w:sz w:val="22"/>
          <w:szCs w:val="22"/>
        </w:rPr>
        <w:t>programme</w:t>
      </w:r>
      <w:r w:rsidRPr="2030048C">
        <w:rPr>
          <w:rFonts w:ascii="Arial" w:eastAsia="Arial" w:hAnsi="Arial" w:cs="Arial"/>
          <w:sz w:val="22"/>
          <w:szCs w:val="22"/>
        </w:rPr>
        <w:t xml:space="preserve"> is divided into two stages comprising 60 credits each. In the first phase</w:t>
      </w:r>
      <w:r w:rsidRPr="2030048C">
        <w:rPr>
          <w:rFonts w:ascii="Arial" w:eastAsia="Arial" w:hAnsi="Arial" w:cs="Arial"/>
          <w:sz w:val="22"/>
          <w:szCs w:val="22"/>
        </w:rPr>
        <w:t>,</w:t>
      </w:r>
      <w:r w:rsidRPr="2030048C">
        <w:rPr>
          <w:rFonts w:ascii="Arial" w:eastAsia="Arial" w:hAnsi="Arial" w:cs="Arial"/>
          <w:sz w:val="22"/>
          <w:szCs w:val="22"/>
        </w:rPr>
        <w:t xml:space="preserve"> students continue </w:t>
      </w:r>
      <w:r w:rsidRPr="2030048C">
        <w:rPr>
          <w:rFonts w:ascii="Arial" w:eastAsia="Arial" w:hAnsi="Arial" w:cs="Arial"/>
          <w:sz w:val="22"/>
          <w:szCs w:val="22"/>
        </w:rPr>
        <w:t>their efforts at tran</w:t>
      </w:r>
      <w:r w:rsidRPr="2030048C">
        <w:rPr>
          <w:rFonts w:ascii="Arial" w:eastAsia="Arial" w:hAnsi="Arial" w:cs="Arial"/>
          <w:sz w:val="22"/>
          <w:szCs w:val="22"/>
        </w:rPr>
        <w:t>slating and mediating knowledge</w:t>
      </w:r>
      <w:r w:rsidRPr="2030048C">
        <w:rPr>
          <w:rFonts w:ascii="Arial" w:eastAsia="Arial" w:hAnsi="Arial" w:cs="Arial"/>
          <w:sz w:val="22"/>
          <w:szCs w:val="22"/>
        </w:rPr>
        <w:t xml:space="preserve"> but with</w:t>
      </w:r>
      <w:r w:rsidRPr="2030048C">
        <w:rPr>
          <w:rFonts w:ascii="Arial" w:eastAsia="Arial" w:hAnsi="Arial" w:cs="Arial"/>
          <w:sz w:val="22"/>
          <w:szCs w:val="22"/>
        </w:rPr>
        <w:t xml:space="preserve"> a transition towards developing their own </w:t>
      </w:r>
      <w:r w:rsidRPr="2030048C">
        <w:rPr>
          <w:rFonts w:ascii="Arial" w:eastAsia="Arial" w:hAnsi="Arial" w:cs="Arial"/>
          <w:sz w:val="22"/>
          <w:szCs w:val="22"/>
        </w:rPr>
        <w:t>designs</w:t>
      </w:r>
      <w:r w:rsidRPr="2030048C">
        <w:rPr>
          <w:rFonts w:ascii="Arial" w:eastAsia="Arial" w:hAnsi="Arial" w:cs="Arial"/>
          <w:sz w:val="22"/>
          <w:szCs w:val="22"/>
        </w:rPr>
        <w:t xml:space="preserve"> philosophies and practice</w:t>
      </w:r>
      <w:r w:rsidRPr="2030048C">
        <w:rPr>
          <w:rFonts w:ascii="Arial" w:eastAsia="Arial" w:hAnsi="Arial" w:cs="Arial"/>
          <w:sz w:val="22"/>
          <w:szCs w:val="22"/>
        </w:rPr>
        <w:t xml:space="preserve">. This essentially works as a preparation for the </w:t>
      </w:r>
      <w:r w:rsidRPr="2030048C">
        <w:rPr>
          <w:rFonts w:ascii="Arial" w:eastAsia="Arial" w:hAnsi="Arial" w:cs="Arial"/>
          <w:sz w:val="22"/>
          <w:szCs w:val="22"/>
        </w:rPr>
        <w:t>remaining 60 credits of L</w:t>
      </w:r>
      <w:r w:rsidRPr="2030048C">
        <w:rPr>
          <w:rFonts w:ascii="Arial" w:eastAsia="Arial" w:hAnsi="Arial" w:cs="Arial"/>
          <w:sz w:val="22"/>
          <w:szCs w:val="22"/>
        </w:rPr>
        <w:t xml:space="preserve">evel 6, </w:t>
      </w:r>
      <w:r w:rsidRPr="2030048C">
        <w:rPr>
          <w:rFonts w:ascii="Arial" w:eastAsia="Arial" w:hAnsi="Arial" w:cs="Arial"/>
          <w:sz w:val="22"/>
          <w:szCs w:val="22"/>
        </w:rPr>
        <w:t xml:space="preserve">where </w:t>
      </w:r>
      <w:r w:rsidRPr="2030048C">
        <w:rPr>
          <w:rFonts w:ascii="Arial" w:eastAsia="Arial" w:hAnsi="Arial" w:cs="Arial"/>
          <w:sz w:val="22"/>
          <w:szCs w:val="22"/>
        </w:rPr>
        <w:t>students work on a capstone project</w:t>
      </w:r>
      <w:r w:rsidRPr="2030048C">
        <w:rPr>
          <w:rFonts w:ascii="Arial" w:eastAsia="Arial" w:hAnsi="Arial" w:cs="Arial"/>
          <w:sz w:val="22"/>
          <w:szCs w:val="22"/>
        </w:rPr>
        <w:t xml:space="preserve">. This project </w:t>
      </w:r>
      <w:r w:rsidRPr="2030048C">
        <w:rPr>
          <w:rFonts w:ascii="Arial" w:eastAsia="Arial" w:hAnsi="Arial" w:cs="Arial"/>
          <w:sz w:val="22"/>
          <w:szCs w:val="22"/>
        </w:rPr>
        <w:t>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w:t>
      </w:r>
      <w:r w:rsidRPr="2030048C">
        <w:rPr>
          <w:rFonts w:ascii="Arial" w:eastAsia="Arial" w:hAnsi="Arial" w:cs="Arial"/>
          <w:sz w:val="22"/>
          <w:szCs w:val="22"/>
        </w:rPr>
        <w:t xml:space="preserve">  </w:t>
      </w:r>
      <w:r w:rsidRPr="2030048C">
        <w:rPr>
          <w:rFonts w:ascii="Arial" w:eastAsia="Arial" w:hAnsi="Arial" w:cs="Arial"/>
          <w:sz w:val="22"/>
          <w:szCs w:val="22"/>
        </w:rPr>
        <w:t xml:space="preserve">In this project the advanced student will suitably demonstrate their own design ability, their situatedness in chosen contexts, their ability to critically evaluate these through design but also develop essential skills of running a successful design practice. </w:t>
      </w: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Curriculum areas include:</w:t>
      </w:r>
    </w:p>
    <w:p w:rsidRPr="2030048C" w:rsidP="2030048C">
      <w:pPr>
        <w:pStyle w:val="ListParagraph0"/>
        <w:numPr>
          <w:ilvl w:val="0"/>
          <w:numId w:val="22"/>
        </w:numPr>
        <w:pBdr>
          <w:left w:val="none" w:sz="0" w:space="7" w:color="auto"/>
        </w:pBdr>
        <w:spacing w:before="0" w:after="0"/>
        <w:ind w:left="426"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Translation of literal and figurative contexts within design process and realization.</w:t>
      </w:r>
    </w:p>
    <w:p w:rsidRPr="2030048C" w:rsidP="2030048C">
      <w:pPr>
        <w:pStyle w:val="li"/>
        <w:numPr>
          <w:ilvl w:val="0"/>
          <w:numId w:val="22"/>
        </w:numPr>
        <w:pBdr>
          <w:left w:val="none" w:sz="0" w:space="7" w:color="auto"/>
        </w:pBdr>
        <w:spacing w:before="0" w:after="0"/>
        <w:ind w:left="426"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Critical analysis and articulation of context and design.</w:t>
      </w:r>
      <w:r w:rsidRPr="2030048C">
        <w:rPr>
          <w:rFonts w:ascii="Arial" w:eastAsia="Arial" w:hAnsi="Arial" w:cs="Arial"/>
          <w:sz w:val="22"/>
          <w:szCs w:val="22"/>
        </w:rPr>
        <w:t xml:space="preserve"> Critical self-reflection on previous design projects and experiences, leading to a skills/aspirations/knowledge and understanding audit.</w:t>
      </w:r>
    </w:p>
    <w:p w:rsidRPr="2030048C" w:rsidP="2030048C">
      <w:pPr>
        <w:pStyle w:val="Pa0"/>
        <w:widowControl w:val="0"/>
        <w:numPr>
          <w:ilvl w:val="0"/>
          <w:numId w:val="22"/>
        </w:numPr>
        <w:pBdr>
          <w:left w:val="none" w:sz="0" w:space="7" w:color="auto"/>
        </w:pBdr>
        <w:spacing w:before="0" w:after="0"/>
        <w:ind w:left="426" w:right="0" w:hanging="519"/>
        <w:jc w:val="both"/>
        <w:rPr>
          <w:rFonts w:ascii="Times New Roman" w:eastAsia="Times New Roman" w:hAnsi="Times New Roman" w:cs="Times New Roman"/>
          <w:color w:val="221E1F"/>
          <w:sz w:val="22"/>
          <w:szCs w:val="22"/>
        </w:rPr>
      </w:pPr>
      <w:r w:rsidRPr="2030048C">
        <w:rPr>
          <w:rFonts w:ascii="Arial" w:eastAsia="Arial" w:hAnsi="Arial" w:cs="Arial"/>
          <w:color w:val="000000"/>
          <w:spacing w:val="-3"/>
          <w:sz w:val="22"/>
          <w:szCs w:val="22"/>
        </w:rPr>
        <w:t xml:space="preserve">Self-initiated </w:t>
      </w:r>
      <w:r w:rsidRPr="2030048C">
        <w:rPr>
          <w:rStyle w:val="A0"/>
          <w:rFonts w:ascii="Arial" w:eastAsia="Arial" w:hAnsi="Arial" w:cs="Arial"/>
          <w:color w:val="221E1F"/>
          <w:sz w:val="22"/>
          <w:szCs w:val="22"/>
        </w:rPr>
        <w:t>investigation and research of Major Design Project theme/s and field of study acknowledging context, need and objective.</w:t>
      </w:r>
    </w:p>
    <w:p w:rsidRPr="2030048C" w:rsidP="2030048C">
      <w:pPr>
        <w:pStyle w:val="li"/>
        <w:numPr>
          <w:ilvl w:val="0"/>
          <w:numId w:val="22"/>
        </w:numPr>
        <w:pBdr>
          <w:left w:val="none" w:sz="0" w:space="7" w:color="auto"/>
        </w:pBdr>
        <w:spacing w:before="0" w:after="0"/>
        <w:ind w:left="426"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Considered investigation and application of materials, technologies and processes throughout the development, realisation and presentation. </w:t>
      </w:r>
    </w:p>
    <w:p w:rsidRPr="2030048C" w:rsidP="2030048C">
      <w:pPr>
        <w:pStyle w:val="Pa0"/>
        <w:widowControl w:val="0"/>
        <w:numPr>
          <w:ilvl w:val="0"/>
          <w:numId w:val="22"/>
        </w:numPr>
        <w:pBdr>
          <w:left w:val="none" w:sz="0" w:space="7" w:color="auto"/>
        </w:pBdr>
        <w:spacing w:before="0" w:after="0"/>
        <w:ind w:left="426" w:right="0" w:hanging="519"/>
        <w:jc w:val="both"/>
        <w:rPr>
          <w:rFonts w:ascii="Times New Roman" w:eastAsia="Times New Roman" w:hAnsi="Times New Roman" w:cs="Times New Roman"/>
          <w:color w:val="221E1F"/>
          <w:sz w:val="22"/>
          <w:szCs w:val="22"/>
        </w:rPr>
      </w:pPr>
      <w:r w:rsidRPr="2030048C">
        <w:rPr>
          <w:rStyle w:val="A0"/>
          <w:rFonts w:ascii="Arial" w:eastAsia="Arial" w:hAnsi="Arial" w:cs="Arial"/>
          <w:color w:val="221E1F"/>
          <w:sz w:val="22"/>
          <w:szCs w:val="22"/>
        </w:rPr>
        <w:t xml:space="preserve">Self-directed testing and production of project development iterations. </w:t>
      </w:r>
    </w:p>
    <w:p w:rsidRPr="2030048C" w:rsidP="2030048C">
      <w:pPr>
        <w:pStyle w:val="Pa0"/>
        <w:widowControl w:val="0"/>
        <w:numPr>
          <w:ilvl w:val="0"/>
          <w:numId w:val="22"/>
        </w:numPr>
        <w:pBdr>
          <w:left w:val="none" w:sz="0" w:space="7" w:color="auto"/>
        </w:pBdr>
        <w:spacing w:before="0" w:after="0"/>
        <w:ind w:left="426" w:right="0" w:hanging="519"/>
        <w:jc w:val="both"/>
        <w:rPr>
          <w:rFonts w:ascii="Times New Roman" w:eastAsia="Times New Roman" w:hAnsi="Times New Roman" w:cs="Times New Roman"/>
          <w:sz w:val="22"/>
          <w:szCs w:val="22"/>
        </w:rPr>
      </w:pPr>
      <w:r w:rsidRPr="2030048C">
        <w:rPr>
          <w:rStyle w:val="A0"/>
          <w:rFonts w:ascii="Arial" w:eastAsia="Arial" w:hAnsi="Arial" w:cs="Arial"/>
          <w:color w:val="221E1F"/>
          <w:sz w:val="22"/>
          <w:szCs w:val="22"/>
        </w:rPr>
        <w:t>C</w:t>
      </w:r>
      <w:r w:rsidRPr="2030048C">
        <w:rPr>
          <w:rFonts w:ascii="Arial" w:eastAsia="Arial" w:hAnsi="Arial" w:cs="Arial"/>
          <w:sz w:val="22"/>
          <w:szCs w:val="22"/>
        </w:rPr>
        <w:t>ritical self-reflection on the Personal Design Project development process and outcome.</w:t>
      </w:r>
    </w:p>
    <w:p w:rsidRPr="2030048C" w:rsidP="2030048C">
      <w:pPr>
        <w:pStyle w:val="li"/>
        <w:numPr>
          <w:ilvl w:val="0"/>
          <w:numId w:val="22"/>
        </w:numPr>
        <w:pBdr>
          <w:left w:val="none" w:sz="0" w:space="7" w:color="auto"/>
        </w:pBdr>
        <w:spacing w:before="0" w:after="0"/>
        <w:ind w:left="426"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Practice related documentary development. </w:t>
      </w:r>
    </w:p>
    <w:p w:rsidRPr="2030048C" w:rsidP="2030048C">
      <w:pPr>
        <w:pStyle w:val="li"/>
        <w:numPr>
          <w:ilvl w:val="0"/>
          <w:numId w:val="22"/>
        </w:numPr>
        <w:pBdr>
          <w:left w:val="none" w:sz="0" w:space="7" w:color="auto"/>
        </w:pBdr>
        <w:spacing w:before="0" w:after="0"/>
        <w:ind w:left="426"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Exit strategy, r</w:t>
      </w:r>
      <w:r w:rsidRPr="2030048C">
        <w:rPr>
          <w:rFonts w:ascii="Arial" w:eastAsia="Arial" w:hAnsi="Arial" w:cs="Arial"/>
          <w:sz w:val="22"/>
          <w:szCs w:val="22"/>
        </w:rPr>
        <w:t>esearch into employment opportunities</w:t>
      </w:r>
      <w:r w:rsidRPr="2030048C">
        <w:rPr>
          <w:rFonts w:ascii="Arial" w:eastAsia="Arial" w:hAnsi="Arial" w:cs="Arial"/>
          <w:sz w:val="22"/>
          <w:szCs w:val="22"/>
        </w:rPr>
        <w:t xml:space="preserve"> and or opportunities for</w:t>
      </w:r>
      <w:r w:rsidRPr="2030048C">
        <w:rPr>
          <w:rFonts w:ascii="Arial" w:eastAsia="Arial" w:hAnsi="Arial" w:cs="Arial"/>
          <w:sz w:val="22"/>
          <w:szCs w:val="22"/>
        </w:rPr>
        <w:t xml:space="preserve"> further study</w:t>
      </w:r>
      <w:r w:rsidRPr="2030048C">
        <w:rPr>
          <w:rFonts w:ascii="Arial" w:eastAsia="Arial" w:hAnsi="Arial" w:cs="Arial"/>
          <w:sz w:val="22"/>
          <w:szCs w:val="22"/>
        </w:rPr>
        <w:t>.</w:t>
      </w:r>
    </w:p>
    <w:p w:rsidRPr="2030048C" w:rsidP="2030048C">
      <w:pPr>
        <w:pStyle w:val="p"/>
        <w:keepNext/>
        <w:spacing w:before="0" w:after="0"/>
        <w:ind w:left="0" w:right="0"/>
        <w:jc w:val="both"/>
        <w:rPr>
          <w:rFonts w:ascii="Arial" w:eastAsia="Arial" w:hAnsi="Arial" w:cs="Arial"/>
          <w:b/>
          <w:bCs/>
          <w:sz w:val="22"/>
          <w:szCs w:val="22"/>
        </w:rPr>
      </w:pPr>
    </w:p>
    <w:tbl>
      <w:tblPr>
        <w:tblStyle w:val="table"/>
        <w:tblW w:w="8647"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
      <w:tblGrid>
        <w:gridCol w:w="3295"/>
        <w:gridCol w:w="1300"/>
        <w:gridCol w:w="1290"/>
        <w:gridCol w:w="1224"/>
        <w:gridCol w:w="1508"/>
      </w:tblGrid>
      <w:tr>
        <w:tblPrEx>
          <w:tblW w:w="8647" w:type="dxa"/>
          <w:tblLook w:val="05E0"/>
        </w:tblPrEx>
        <w:tc>
          <w:tcPr>
            <w:tcW w:w="4253" w:type="dxa"/>
            <w:tcBorders>
              <w:bottom w:val="single" w:sz="6" w:space="0" w:color="auto"/>
              <w:right w:val="single" w:sz="6" w:space="0" w:color="auto"/>
            </w:tcBorders>
            <w:shd w:val="clear" w:color="auto" w:fill="DBE5F1"/>
            <w:noWrap w:val="0"/>
            <w:tcMar>
              <w:top w:w="0" w:type="dxa"/>
              <w:left w:w="116" w:type="dxa"/>
              <w:bottom w:w="136" w:type="dxa"/>
              <w:right w:w="116" w:type="dxa"/>
            </w:tcMar>
            <w:vAlign w:val="top"/>
            <w:hideMark/>
          </w:tcPr>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shd w:val="clear" w:color="auto" w:fill="FFFF00"/>
              </w:rPr>
              <w:t>Compulsory Modules</w:t>
            </w:r>
          </w:p>
          <w:p w:rsidRPr="2030048C" w:rsidP="2030048C">
            <w:pPr>
              <w:pStyle w:val="p"/>
              <w:spacing w:before="0" w:after="0"/>
              <w:ind w:left="0" w:right="0"/>
              <w:jc w:val="both"/>
              <w:rPr>
                <w:rFonts w:ascii="Arial" w:eastAsia="Arial" w:hAnsi="Arial" w:cs="Arial"/>
                <w:b/>
                <w:bCs/>
                <w:sz w:val="22"/>
                <w:szCs w:val="22"/>
              </w:rPr>
            </w:pPr>
          </w:p>
        </w:tc>
        <w:tc>
          <w:tcPr>
            <w:tcW w:w="1068" w:type="dxa"/>
            <w:tcBorders>
              <w:left w:val="single" w:sz="6" w:space="0" w:color="auto"/>
              <w:bottom w:val="single" w:sz="6" w:space="0" w:color="auto"/>
              <w:right w:val="single" w:sz="6" w:space="0" w:color="auto"/>
            </w:tcBorders>
            <w:shd w:val="clear" w:color="auto" w:fill="DBE5F1"/>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b/>
                <w:bCs/>
                <w:sz w:val="22"/>
                <w:szCs w:val="22"/>
                <w:shd w:val="clear" w:color="auto" w:fill="FFFF00"/>
              </w:rPr>
              <w:t>Module Code</w:t>
            </w:r>
          </w:p>
        </w:tc>
        <w:tc>
          <w:tcPr>
            <w:tcW w:w="1058" w:type="dxa"/>
            <w:tcBorders>
              <w:left w:val="single" w:sz="6" w:space="0" w:color="auto"/>
              <w:bottom w:val="single" w:sz="6" w:space="0" w:color="auto"/>
              <w:right w:val="single" w:sz="6" w:space="0" w:color="auto"/>
            </w:tcBorders>
            <w:shd w:val="clear" w:color="auto" w:fill="DBE5F1"/>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b/>
                <w:bCs/>
                <w:sz w:val="22"/>
                <w:szCs w:val="22"/>
                <w:shd w:val="clear" w:color="auto" w:fill="FFFF00"/>
              </w:rPr>
              <w:t>Credit</w:t>
            </w:r>
          </w:p>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b/>
                <w:bCs/>
                <w:sz w:val="22"/>
                <w:szCs w:val="22"/>
                <w:shd w:val="clear" w:color="auto" w:fill="FFFF00"/>
              </w:rPr>
              <w:t>Value</w:t>
            </w:r>
          </w:p>
        </w:tc>
        <w:tc>
          <w:tcPr>
            <w:tcW w:w="992" w:type="dxa"/>
            <w:tcBorders>
              <w:left w:val="single" w:sz="6" w:space="0" w:color="auto"/>
              <w:bottom w:val="single" w:sz="6" w:space="0" w:color="auto"/>
              <w:right w:val="single" w:sz="6" w:space="0" w:color="auto"/>
            </w:tcBorders>
            <w:shd w:val="clear" w:color="auto" w:fill="DBE5F1"/>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b/>
                <w:bCs/>
                <w:sz w:val="22"/>
                <w:szCs w:val="22"/>
                <w:shd w:val="clear" w:color="auto" w:fill="FFFF00"/>
              </w:rPr>
              <w:t>Level</w:t>
            </w:r>
          </w:p>
        </w:tc>
        <w:tc>
          <w:tcPr>
            <w:tcW w:w="1276" w:type="dxa"/>
            <w:tcBorders>
              <w:left w:val="single" w:sz="6" w:space="0" w:color="auto"/>
              <w:bottom w:val="single" w:sz="6" w:space="0" w:color="auto"/>
            </w:tcBorders>
            <w:shd w:val="clear" w:color="auto" w:fill="DBE5F1"/>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b/>
                <w:bCs/>
                <w:sz w:val="22"/>
                <w:szCs w:val="22"/>
                <w:shd w:val="clear" w:color="auto" w:fill="FFFF00"/>
              </w:rPr>
              <w:t>Teaching Block</w:t>
            </w:r>
          </w:p>
        </w:tc>
      </w:tr>
      <w:tr>
        <w:tblPrEx>
          <w:tblW w:w="8647" w:type="dxa"/>
          <w:tblLook w:val="05E0"/>
        </w:tblPrEx>
        <w:tc>
          <w:tcPr>
            <w:tcW w:w="4253" w:type="dxa"/>
            <w:tcBorders>
              <w:top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Context 3</w:t>
            </w:r>
          </w:p>
        </w:tc>
        <w:tc>
          <w:tcPr>
            <w:tcW w:w="1068" w:type="dxa"/>
            <w:tcBorders>
              <w:top w:val="single" w:sz="6" w:space="0" w:color="auto"/>
              <w:left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keepNext/>
              <w:keepLines/>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II600</w:t>
            </w:r>
            <w:r w:rsidRPr="2030048C">
              <w:rPr>
                <w:rFonts w:ascii="Arial" w:eastAsia="Arial" w:hAnsi="Arial" w:cs="Arial"/>
                <w:sz w:val="22"/>
                <w:szCs w:val="22"/>
                <w:shd w:val="clear" w:color="auto" w:fill="FFFF00"/>
              </w:rPr>
              <w:t>1</w:t>
            </w:r>
          </w:p>
        </w:tc>
        <w:tc>
          <w:tcPr>
            <w:tcW w:w="1058" w:type="dxa"/>
            <w:tcBorders>
              <w:top w:val="single" w:sz="6" w:space="0" w:color="auto"/>
              <w:left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30</w:t>
            </w:r>
          </w:p>
        </w:tc>
        <w:tc>
          <w:tcPr>
            <w:tcW w:w="992" w:type="dxa"/>
            <w:tcBorders>
              <w:top w:val="single" w:sz="6" w:space="0" w:color="auto"/>
              <w:left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6</w:t>
            </w:r>
          </w:p>
        </w:tc>
        <w:tc>
          <w:tcPr>
            <w:tcW w:w="1276" w:type="dxa"/>
            <w:tcBorders>
              <w:top w:val="single" w:sz="6" w:space="0" w:color="auto"/>
              <w:left w:val="single" w:sz="6" w:space="0" w:color="auto"/>
              <w:bottom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1</w:t>
            </w:r>
          </w:p>
        </w:tc>
      </w:tr>
      <w:tr>
        <w:tblPrEx>
          <w:tblW w:w="8647" w:type="dxa"/>
          <w:tblLook w:val="05E0"/>
        </w:tblPrEx>
        <w:tc>
          <w:tcPr>
            <w:tcW w:w="4253" w:type="dxa"/>
            <w:tcBorders>
              <w:top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Personal &amp; Professional Development 3</w:t>
            </w:r>
          </w:p>
        </w:tc>
        <w:tc>
          <w:tcPr>
            <w:tcW w:w="1068" w:type="dxa"/>
            <w:tcBorders>
              <w:top w:val="single" w:sz="6" w:space="0" w:color="auto"/>
              <w:left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keepNext/>
              <w:keepLines/>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II6002</w:t>
            </w:r>
          </w:p>
        </w:tc>
        <w:tc>
          <w:tcPr>
            <w:tcW w:w="1058" w:type="dxa"/>
            <w:tcBorders>
              <w:top w:val="single" w:sz="6" w:space="0" w:color="auto"/>
              <w:left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30</w:t>
            </w:r>
          </w:p>
        </w:tc>
        <w:tc>
          <w:tcPr>
            <w:tcW w:w="992" w:type="dxa"/>
            <w:tcBorders>
              <w:top w:val="single" w:sz="6" w:space="0" w:color="auto"/>
              <w:left w:val="single" w:sz="6" w:space="0" w:color="auto"/>
              <w:bottom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6</w:t>
            </w:r>
          </w:p>
        </w:tc>
        <w:tc>
          <w:tcPr>
            <w:tcW w:w="1276" w:type="dxa"/>
            <w:tcBorders>
              <w:top w:val="single" w:sz="6" w:space="0" w:color="auto"/>
              <w:left w:val="single" w:sz="6" w:space="0" w:color="auto"/>
              <w:bottom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1</w:t>
            </w:r>
          </w:p>
        </w:tc>
      </w:tr>
      <w:tr>
        <w:tblPrEx>
          <w:tblW w:w="8647" w:type="dxa"/>
          <w:tblLook w:val="05E0"/>
        </w:tblPrEx>
        <w:tc>
          <w:tcPr>
            <w:tcW w:w="4253" w:type="dxa"/>
            <w:tcBorders>
              <w:top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Major Design Project</w:t>
            </w:r>
          </w:p>
        </w:tc>
        <w:tc>
          <w:tcPr>
            <w:tcW w:w="1068" w:type="dxa"/>
            <w:tcBorders>
              <w:top w:val="single" w:sz="6" w:space="0" w:color="auto"/>
              <w:left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keepNext/>
              <w:keepLines/>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II6003</w:t>
            </w:r>
          </w:p>
        </w:tc>
        <w:tc>
          <w:tcPr>
            <w:tcW w:w="1058" w:type="dxa"/>
            <w:tcBorders>
              <w:top w:val="single" w:sz="6" w:space="0" w:color="auto"/>
              <w:left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60</w:t>
            </w:r>
          </w:p>
        </w:tc>
        <w:tc>
          <w:tcPr>
            <w:tcW w:w="992" w:type="dxa"/>
            <w:tcBorders>
              <w:top w:val="single" w:sz="6" w:space="0" w:color="auto"/>
              <w:left w:val="single" w:sz="6" w:space="0" w:color="auto"/>
              <w:righ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6</w:t>
            </w:r>
          </w:p>
        </w:tc>
        <w:tc>
          <w:tcPr>
            <w:tcW w:w="1276" w:type="dxa"/>
            <w:tcBorders>
              <w:top w:val="single" w:sz="6" w:space="0" w:color="auto"/>
              <w:left w:val="single" w:sz="6" w:space="0" w:color="auto"/>
            </w:tcBorders>
            <w:noWrap w:val="0"/>
            <w:tcMar>
              <w:top w:w="0" w:type="dxa"/>
              <w:left w:w="116" w:type="dxa"/>
              <w:bottom w:w="136" w:type="dxa"/>
              <w:right w:w="116" w:type="dxa"/>
            </w:tcMar>
            <w:vAlign w:val="top"/>
            <w:hideMark/>
          </w:tcPr>
          <w:p w:rsidRPr="2030048C" w:rsidP="2030048C">
            <w:pPr>
              <w:pStyle w:val="p"/>
              <w:spacing w:before="0" w:after="0"/>
              <w:ind w:left="0" w:right="0"/>
              <w:jc w:val="center"/>
              <w:rPr>
                <w:rFonts w:ascii="Times New Roman" w:eastAsia="Times New Roman" w:hAnsi="Times New Roman" w:cs="Times New Roman"/>
                <w:sz w:val="22"/>
                <w:szCs w:val="22"/>
              </w:rPr>
            </w:pPr>
            <w:r w:rsidRPr="2030048C">
              <w:rPr>
                <w:rFonts w:ascii="Arial" w:eastAsia="Arial" w:hAnsi="Arial" w:cs="Arial"/>
                <w:sz w:val="22"/>
                <w:szCs w:val="22"/>
                <w:shd w:val="clear" w:color="auto" w:fill="FFFF00"/>
              </w:rPr>
              <w:t>2</w:t>
            </w:r>
          </w:p>
        </w:tc>
      </w:tr>
    </w:tbl>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Level 6 requires the completion of all modules.</w:t>
      </w:r>
    </w:p>
    <w:p w:rsidRPr="2030048C" w:rsidP="2030048C">
      <w:pPr>
        <w:pStyle w:val="p"/>
        <w:spacing w:before="0" w:after="0"/>
        <w:ind w:left="0" w:right="0"/>
        <w:jc w:val="both"/>
        <w:rPr>
          <w:rFonts w:ascii="Arial" w:eastAsia="Arial" w:hAnsi="Arial" w:cs="Arial"/>
          <w:sz w:val="22"/>
          <w:szCs w:val="22"/>
        </w:rPr>
      </w:pPr>
    </w:p>
    <w:p w:rsidRPr="2030048C" w:rsidP="2030048C">
      <w:pPr>
        <w:pStyle w:val="ListParagraph0"/>
        <w:numPr>
          <w:ilvl w:val="0"/>
          <w:numId w:val="23"/>
        </w:numPr>
        <w:pBdr>
          <w:left w:val="none" w:sz="0" w:space="2" w:color="auto"/>
        </w:pBdr>
        <w:spacing w:before="0" w:after="0"/>
        <w:ind w:left="360" w:right="0" w:hanging="400"/>
        <w:jc w:val="both"/>
        <w:rPr>
          <w:rFonts w:ascii="Arial" w:eastAsia="Arial" w:hAnsi="Arial" w:cs="Arial"/>
          <w:b/>
          <w:bCs/>
          <w:sz w:val="22"/>
          <w:szCs w:val="22"/>
        </w:rPr>
      </w:pPr>
      <w:r w:rsidRPr="2030048C">
        <w:rPr>
          <w:rFonts w:ascii="Arial" w:eastAsia="Arial" w:hAnsi="Arial" w:cs="Arial"/>
          <w:b/>
          <w:bCs/>
          <w:sz w:val="22"/>
          <w:szCs w:val="22"/>
        </w:rPr>
        <w:t>Principles of T</w:t>
      </w:r>
      <w:r w:rsidRPr="2030048C">
        <w:rPr>
          <w:rFonts w:ascii="Arial" w:eastAsia="Arial" w:hAnsi="Arial" w:cs="Arial"/>
          <w:b/>
          <w:bCs/>
          <w:sz w:val="22"/>
          <w:szCs w:val="22"/>
        </w:rPr>
        <w:t>eaching Learning and Assessment</w:t>
      </w: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Institute promotes and sustains a distinctive pattern of teaching and learning practices. </w:t>
      </w:r>
      <w:r w:rsidRPr="2030048C">
        <w:rPr>
          <w:rFonts w:ascii="Arial" w:eastAsia="Arial" w:hAnsi="Arial" w:cs="Arial"/>
          <w:sz w:val="22"/>
          <w:szCs w:val="22"/>
        </w:rPr>
        <w:t>Both have been developed in consonance with the philosophies of design and education that the Institute holds as well as the reality of the crea</w:t>
      </w:r>
      <w:r w:rsidRPr="2030048C">
        <w:rPr>
          <w:rFonts w:ascii="Arial" w:eastAsia="Arial" w:hAnsi="Arial" w:cs="Arial"/>
          <w:sz w:val="22"/>
          <w:szCs w:val="22"/>
        </w:rPr>
        <w:t>tive industries in India today.</w:t>
      </w:r>
      <w:r w:rsidRPr="2030048C">
        <w:rPr>
          <w:rFonts w:ascii="Arial" w:eastAsia="Arial" w:hAnsi="Arial" w:cs="Arial"/>
          <w:sz w:val="22"/>
          <w:szCs w:val="22"/>
        </w:rPr>
        <w:t xml:space="preserve"> These have been concretized in the </w:t>
      </w:r>
      <w:r w:rsidRPr="2030048C">
        <w:rPr>
          <w:rFonts w:ascii="Arial" w:eastAsia="Arial" w:hAnsi="Arial" w:cs="Arial"/>
          <w:sz w:val="22"/>
          <w:szCs w:val="22"/>
        </w:rPr>
        <w:t>programme</w:t>
      </w:r>
      <w:r w:rsidRPr="2030048C">
        <w:rPr>
          <w:rFonts w:ascii="Arial" w:eastAsia="Arial" w:hAnsi="Arial" w:cs="Arial"/>
          <w:sz w:val="22"/>
          <w:szCs w:val="22"/>
        </w:rPr>
        <w:t xml:space="preserve"> through four different yet related strategies. </w:t>
      </w:r>
      <w:r w:rsidRPr="2030048C">
        <w:rPr>
          <w:rFonts w:ascii="Arial" w:eastAsia="Arial" w:hAnsi="Arial" w:cs="Arial"/>
          <w:sz w:val="22"/>
          <w:szCs w:val="22"/>
        </w:rPr>
        <w:t>The first of these is the studio system</w:t>
      </w:r>
      <w:r w:rsidRPr="2030048C">
        <w:rPr>
          <w:rFonts w:ascii="Arial" w:eastAsia="Arial" w:hAnsi="Arial" w:cs="Arial"/>
          <w:sz w:val="22"/>
          <w:szCs w:val="22"/>
        </w:rPr>
        <w:t>,</w:t>
      </w:r>
      <w:r w:rsidRPr="2030048C">
        <w:rPr>
          <w:rFonts w:ascii="Arial" w:eastAsia="Arial" w:hAnsi="Arial" w:cs="Arial"/>
          <w:sz w:val="22"/>
          <w:szCs w:val="22"/>
        </w:rPr>
        <w:t xml:space="preserve"> which is designed to affirm</w:t>
      </w:r>
      <w:r w:rsidRPr="2030048C">
        <w:rPr>
          <w:rFonts w:ascii="Arial" w:eastAsia="Arial" w:hAnsi="Arial" w:cs="Arial"/>
          <w:sz w:val="22"/>
          <w:szCs w:val="22"/>
        </w:rPr>
        <w:t xml:space="preserve"> student identity and accommodate different learning trajectories by encouraging peer learning, group work, as well as active collaborations between faculty and students</w:t>
      </w:r>
      <w:r w:rsidRPr="2030048C">
        <w:rPr>
          <w:rFonts w:ascii="Arial" w:eastAsia="Arial" w:hAnsi="Arial" w:cs="Arial"/>
          <w:sz w:val="22"/>
          <w:szCs w:val="22"/>
        </w:rPr>
        <w:t xml:space="preserve"> of the </w:t>
      </w:r>
      <w:r w:rsidRPr="2030048C">
        <w:rPr>
          <w:rFonts w:ascii="Arial" w:eastAsia="Arial" w:hAnsi="Arial" w:cs="Arial"/>
          <w:sz w:val="22"/>
          <w:szCs w:val="22"/>
        </w:rPr>
        <w:t>programme</w:t>
      </w:r>
      <w:r w:rsidRPr="2030048C">
        <w:rPr>
          <w:rFonts w:ascii="Arial" w:eastAsia="Arial" w:hAnsi="Arial" w:cs="Arial"/>
          <w:sz w:val="22"/>
          <w:szCs w:val="22"/>
        </w:rPr>
        <w:t>s</w:t>
      </w:r>
      <w:r w:rsidRPr="2030048C">
        <w:rPr>
          <w:rFonts w:ascii="Arial" w:eastAsia="Arial" w:hAnsi="Arial" w:cs="Arial"/>
          <w:sz w:val="22"/>
          <w:szCs w:val="22"/>
        </w:rPr>
        <w:t>.</w:t>
      </w: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second is the common module system</w:t>
      </w:r>
      <w:r w:rsidRPr="2030048C">
        <w:rPr>
          <w:rFonts w:ascii="Arial" w:eastAsia="Arial" w:hAnsi="Arial" w:cs="Arial"/>
          <w:sz w:val="22"/>
          <w:szCs w:val="22"/>
        </w:rPr>
        <w:t>,</w:t>
      </w:r>
      <w:r w:rsidRPr="2030048C">
        <w:rPr>
          <w:rFonts w:ascii="Arial" w:eastAsia="Arial" w:hAnsi="Arial" w:cs="Arial"/>
          <w:sz w:val="22"/>
          <w:szCs w:val="22"/>
        </w:rPr>
        <w:t xml:space="preserve"> which reaffirm the belief that irrespective of disciplinary specificities any act of design is always </w:t>
      </w:r>
      <w:r w:rsidRPr="2030048C">
        <w:rPr>
          <w:rFonts w:ascii="Arial" w:eastAsia="Arial" w:hAnsi="Arial" w:cs="Arial"/>
          <w:sz w:val="22"/>
          <w:szCs w:val="22"/>
        </w:rPr>
        <w:t>rooted</w:t>
      </w:r>
      <w:r w:rsidRPr="2030048C">
        <w:rPr>
          <w:rFonts w:ascii="Arial" w:eastAsia="Arial" w:hAnsi="Arial" w:cs="Arial"/>
          <w:sz w:val="22"/>
          <w:szCs w:val="22"/>
        </w:rPr>
        <w:t xml:space="preserve"> within questions of Context, Design Processes, Design realization and </w:t>
      </w:r>
      <w:r w:rsidRPr="2030048C">
        <w:rPr>
          <w:rFonts w:ascii="Arial" w:eastAsia="Arial" w:hAnsi="Arial" w:cs="Arial"/>
          <w:sz w:val="22"/>
          <w:szCs w:val="22"/>
        </w:rPr>
        <w:t>Personal</w:t>
      </w:r>
      <w:r w:rsidRPr="2030048C">
        <w:rPr>
          <w:rFonts w:ascii="Arial" w:eastAsia="Arial" w:hAnsi="Arial" w:cs="Arial"/>
          <w:sz w:val="22"/>
          <w:szCs w:val="22"/>
        </w:rPr>
        <w:t>/professional Development and makes developing interdisciplinary classes and highlighting the affinities that the different design disciplines have.</w:t>
      </w:r>
      <w:r w:rsidRPr="2030048C">
        <w:rPr>
          <w:rFonts w:ascii="Arial" w:eastAsia="Arial" w:hAnsi="Arial" w:cs="Arial"/>
          <w:sz w:val="22"/>
          <w:szCs w:val="22"/>
        </w:rPr>
        <w:t xml:space="preserve">    </w:t>
      </w: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third is how the levels have been designed where the progression is circular allowing a movement of learning and teaching to begin from the self, move into “other</w:t>
      </w:r>
      <w:r w:rsidRPr="2030048C">
        <w:rPr>
          <w:rFonts w:ascii="Arial" w:eastAsia="Arial" w:hAnsi="Arial" w:cs="Arial"/>
          <w:sz w:val="22"/>
          <w:szCs w:val="22"/>
        </w:rPr>
        <w:t>s” and then back into oneself.</w:t>
      </w:r>
    </w:p>
    <w:p w:rsidRPr="2030048C" w:rsidP="2030048C">
      <w:pPr>
        <w:pStyle w:val="p"/>
        <w:spacing w:before="0" w:after="0"/>
        <w:ind w:left="0" w:right="0"/>
        <w:jc w:val="both"/>
        <w:rPr>
          <w:rFonts w:ascii="Arial" w:eastAsia="Arial" w:hAnsi="Arial" w:cs="Arial"/>
          <w:sz w:val="22"/>
          <w:szCs w:val="22"/>
        </w:rPr>
      </w:pPr>
    </w:p>
    <w:p w:rsidRPr="2030048C" w:rsidP="2030048C">
      <w:pPr>
        <w:pStyle w:val="Body"/>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fourth and f</w:t>
      </w:r>
      <w:r w:rsidRPr="2030048C">
        <w:rPr>
          <w:rFonts w:ascii="Arial" w:eastAsia="Arial" w:hAnsi="Arial" w:cs="Arial"/>
          <w:sz w:val="22"/>
          <w:szCs w:val="22"/>
        </w:rPr>
        <w:t xml:space="preserve">inal is the emphasis on project </w:t>
      </w:r>
      <w:r w:rsidRPr="2030048C">
        <w:rPr>
          <w:rFonts w:ascii="Arial" w:eastAsia="Arial" w:hAnsi="Arial" w:cs="Arial"/>
          <w:sz w:val="22"/>
          <w:szCs w:val="22"/>
        </w:rPr>
        <w:t>based learning which creates</w:t>
      </w:r>
      <w:r w:rsidRPr="2030048C">
        <w:rPr>
          <w:rFonts w:ascii="Arial" w:eastAsia="Arial" w:hAnsi="Arial" w:cs="Arial"/>
          <w:sz w:val="22"/>
          <w:szCs w:val="22"/>
        </w:rPr>
        <w:t>, on</w:t>
      </w:r>
      <w:r w:rsidRPr="2030048C">
        <w:rPr>
          <w:rFonts w:ascii="Arial" w:eastAsia="Arial" w:hAnsi="Arial" w:cs="Arial"/>
          <w:sz w:val="22"/>
          <w:szCs w:val="22"/>
        </w:rPr>
        <w:t xml:space="preserve"> the one hand, </w:t>
      </w:r>
      <w:r w:rsidRPr="2030048C">
        <w:rPr>
          <w:rFonts w:ascii="Arial" w:eastAsia="Arial" w:hAnsi="Arial" w:cs="Arial"/>
          <w:sz w:val="22"/>
          <w:szCs w:val="22"/>
        </w:rPr>
        <w:t xml:space="preserve">an atmosphere where faculty and student embark on projects of enquiry as collaborators and active agents. </w:t>
      </w:r>
      <w:r w:rsidRPr="2030048C">
        <w:rPr>
          <w:rFonts w:ascii="Arial" w:eastAsia="Arial" w:hAnsi="Arial" w:cs="Arial"/>
          <w:sz w:val="22"/>
          <w:szCs w:val="22"/>
        </w:rPr>
        <w:t>On the other hand</w:t>
      </w:r>
      <w:r w:rsidRPr="2030048C">
        <w:rPr>
          <w:rFonts w:ascii="Arial" w:eastAsia="Arial" w:hAnsi="Arial" w:cs="Arial"/>
          <w:sz w:val="22"/>
          <w:szCs w:val="22"/>
        </w:rPr>
        <w:t>, it reiterates the idea that knowledge is fundamentally always in the making and emerges through enquiry rather than a corpus that is readymade for application.</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w:t>
      </w:r>
      <w:r w:rsidRPr="2030048C">
        <w:rPr>
          <w:rFonts w:ascii="Arial" w:eastAsia="Arial" w:hAnsi="Arial" w:cs="Arial"/>
          <w:sz w:val="22"/>
          <w:szCs w:val="22"/>
        </w:rPr>
        <w:t>h</w:t>
      </w:r>
      <w:r w:rsidRPr="2030048C">
        <w:rPr>
          <w:rFonts w:ascii="Arial" w:eastAsia="Arial" w:hAnsi="Arial" w:cs="Arial"/>
          <w:sz w:val="22"/>
          <w:szCs w:val="22"/>
        </w:rPr>
        <w:t xml:space="preserve">e teaching and learning </w:t>
      </w:r>
      <w:r w:rsidRPr="2030048C">
        <w:rPr>
          <w:rFonts w:ascii="Arial" w:eastAsia="Arial" w:hAnsi="Arial" w:cs="Arial"/>
          <w:sz w:val="22"/>
          <w:szCs w:val="22"/>
        </w:rPr>
        <w:t xml:space="preserve">strategy </w:t>
      </w:r>
      <w:r w:rsidRPr="2030048C">
        <w:rPr>
          <w:rFonts w:ascii="Arial" w:eastAsia="Arial" w:hAnsi="Arial" w:cs="Arial"/>
          <w:sz w:val="22"/>
          <w:szCs w:val="22"/>
        </w:rPr>
        <w:t>incorporates</w:t>
      </w:r>
      <w:r w:rsidRPr="2030048C">
        <w:rPr>
          <w:rFonts w:ascii="Arial" w:eastAsia="Arial" w:hAnsi="Arial" w:cs="Arial"/>
          <w:sz w:val="22"/>
          <w:szCs w:val="22"/>
        </w:rPr>
        <w:t xml:space="preserve"> </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stParagraph0"/>
        <w:widowControl w:val="0"/>
        <w:numPr>
          <w:ilvl w:val="0"/>
          <w:numId w:val="24"/>
        </w:numPr>
        <w:pBdr>
          <w:left w:val="none" w:sz="0" w:space="7" w:color="auto"/>
        </w:pBdr>
        <w:spacing w:before="0" w:after="0"/>
        <w:ind w:left="426"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Briefings for the discussion, a</w:t>
      </w:r>
      <w:r w:rsidRPr="2030048C">
        <w:rPr>
          <w:rFonts w:ascii="Arial" w:eastAsia="Arial" w:hAnsi="Arial" w:cs="Arial"/>
          <w:sz w:val="22"/>
          <w:szCs w:val="22"/>
        </w:rPr>
        <w:t>nalysis and evaluation of the project brief, research and insight gathering into the ‘theme’ or objective and subsequent problem finding for problem solving.</w:t>
      </w:r>
    </w:p>
    <w:p w:rsidRPr="2030048C" w:rsidP="2030048C">
      <w:pPr>
        <w:pStyle w:val="li"/>
        <w:numPr>
          <w:ilvl w:val="0"/>
          <w:numId w:val="24"/>
        </w:numPr>
        <w:pBdr>
          <w:left w:val="none" w:sz="0" w:space="7" w:color="auto"/>
        </w:pBdr>
        <w:spacing w:before="0" w:after="0"/>
        <w:ind w:left="426"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Demonstrations of t</w:t>
      </w:r>
      <w:r w:rsidRPr="2030048C">
        <w:rPr>
          <w:rFonts w:ascii="Arial" w:eastAsia="Arial" w:hAnsi="Arial" w:cs="Arial"/>
          <w:sz w:val="22"/>
          <w:szCs w:val="22"/>
        </w:rPr>
        <w:t>ools and strategies for concept and idea generation</w:t>
      </w:r>
    </w:p>
    <w:p w:rsidRPr="2030048C" w:rsidP="2030048C">
      <w:pPr>
        <w:pStyle w:val="li"/>
        <w:numPr>
          <w:ilvl w:val="0"/>
          <w:numId w:val="24"/>
        </w:numPr>
        <w:pBdr>
          <w:left w:val="none" w:sz="0" w:space="7" w:color="auto"/>
        </w:pBdr>
        <w:spacing w:before="0" w:after="0"/>
        <w:ind w:left="426"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Lectures promoting the a</w:t>
      </w:r>
      <w:r w:rsidRPr="2030048C">
        <w:rPr>
          <w:rFonts w:ascii="Arial" w:eastAsia="Arial" w:hAnsi="Arial" w:cs="Arial"/>
          <w:sz w:val="22"/>
          <w:szCs w:val="22"/>
        </w:rPr>
        <w:t>nalysis of context.</w:t>
      </w:r>
    </w:p>
    <w:p w:rsidRPr="2030048C" w:rsidP="2030048C">
      <w:pPr>
        <w:pStyle w:val="li"/>
        <w:numPr>
          <w:ilvl w:val="0"/>
          <w:numId w:val="24"/>
        </w:numPr>
        <w:pBdr>
          <w:left w:val="none" w:sz="0" w:space="7" w:color="auto"/>
        </w:pBdr>
        <w:spacing w:before="0" w:after="0"/>
        <w:ind w:left="426"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The teaching of communication and presentation tools and techniques.</w:t>
      </w:r>
    </w:p>
    <w:p w:rsidRPr="2030048C" w:rsidP="2030048C">
      <w:pPr>
        <w:pStyle w:val="li"/>
        <w:numPr>
          <w:ilvl w:val="0"/>
          <w:numId w:val="24"/>
        </w:numPr>
        <w:pBdr>
          <w:left w:val="none" w:sz="0" w:space="7" w:color="auto"/>
        </w:pBdr>
        <w:spacing w:before="0" w:after="0"/>
        <w:ind w:left="426"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The teaching of tools for design and realisation</w:t>
      </w:r>
    </w:p>
    <w:p w:rsidRPr="2030048C" w:rsidP="2030048C">
      <w:pPr>
        <w:pStyle w:val="li"/>
        <w:numPr>
          <w:ilvl w:val="0"/>
          <w:numId w:val="24"/>
        </w:numPr>
        <w:pBdr>
          <w:left w:val="none" w:sz="0" w:space="7" w:color="auto"/>
        </w:pBdr>
        <w:spacing w:before="0" w:after="0"/>
        <w:ind w:left="426"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Technical skills workshops</w:t>
      </w:r>
    </w:p>
    <w:p w:rsidRPr="2030048C" w:rsidP="2030048C">
      <w:pPr>
        <w:pStyle w:val="li"/>
        <w:numPr>
          <w:ilvl w:val="0"/>
          <w:numId w:val="24"/>
        </w:numPr>
        <w:pBdr>
          <w:left w:val="none" w:sz="0" w:space="7" w:color="auto"/>
        </w:pBdr>
        <w:spacing w:before="0" w:after="0"/>
        <w:ind w:left="426"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Field trips and site visits</w:t>
      </w:r>
    </w:p>
    <w:p w:rsidRPr="2030048C" w:rsidP="2030048C">
      <w:pPr>
        <w:pStyle w:val="li"/>
        <w:numPr>
          <w:ilvl w:val="0"/>
          <w:numId w:val="24"/>
        </w:numPr>
        <w:pBdr>
          <w:left w:val="none" w:sz="0" w:space="7" w:color="auto"/>
        </w:pBdr>
        <w:spacing w:before="0" w:after="0"/>
        <w:ind w:left="426"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Seminars for t</w:t>
      </w:r>
      <w:r w:rsidRPr="2030048C">
        <w:rPr>
          <w:rFonts w:ascii="Arial" w:eastAsia="Arial" w:hAnsi="Arial" w:cs="Arial"/>
          <w:sz w:val="22"/>
          <w:szCs w:val="22"/>
        </w:rPr>
        <w:t>he development of students’ ability to confidently communicate visually and orally</w:t>
      </w:r>
    </w:p>
    <w:p w:rsidRPr="2030048C" w:rsidP="2030048C">
      <w:pPr>
        <w:pStyle w:val="li"/>
        <w:numPr>
          <w:ilvl w:val="0"/>
          <w:numId w:val="24"/>
        </w:numPr>
        <w:pBdr>
          <w:left w:val="none" w:sz="0" w:space="7" w:color="auto"/>
        </w:pBdr>
        <w:spacing w:before="0" w:after="0"/>
        <w:ind w:left="426"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Project reviews and crits to promote peer project discussion and debate</w:t>
      </w:r>
    </w:p>
    <w:p w:rsidRPr="2030048C" w:rsidP="2030048C">
      <w:pPr>
        <w:pStyle w:val="li"/>
        <w:numPr>
          <w:ilvl w:val="0"/>
          <w:numId w:val="24"/>
        </w:numPr>
        <w:pBdr>
          <w:left w:val="none" w:sz="0" w:space="7" w:color="auto"/>
        </w:pBdr>
        <w:spacing w:before="0" w:after="0"/>
        <w:ind w:left="426"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Tutorials for t</w:t>
      </w:r>
      <w:r w:rsidRPr="2030048C">
        <w:rPr>
          <w:rFonts w:ascii="Arial" w:eastAsia="Arial" w:hAnsi="Arial" w:cs="Arial"/>
          <w:sz w:val="22"/>
          <w:szCs w:val="22"/>
        </w:rPr>
        <w:t>he encouragement of critical self-reflection within students in relation to a sustainable design practice.</w:t>
      </w:r>
    </w:p>
    <w:p w:rsidRPr="2030048C" w:rsidP="2030048C">
      <w:pPr>
        <w:pStyle w:val="p"/>
        <w:spacing w:before="0" w:after="0"/>
        <w:ind w:left="66" w:right="0"/>
        <w:jc w:val="both"/>
        <w:rPr>
          <w:rFonts w:ascii="Arial" w:eastAsia="Arial" w:hAnsi="Arial" w:cs="Arial"/>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All of the above approaches will be used on each degree, but the extent to which each approach is used may vary across levels and across the three courses.</w:t>
      </w:r>
      <w:r w:rsidRPr="2030048C">
        <w:rPr>
          <w:rFonts w:ascii="Arial" w:eastAsia="Arial" w:hAnsi="Arial" w:cs="Arial"/>
          <w:sz w:val="22"/>
          <w:szCs w:val="22"/>
        </w:rPr>
        <w:t xml:space="preserve">  </w:t>
      </w:r>
      <w:r w:rsidRPr="2030048C">
        <w:rPr>
          <w:rFonts w:ascii="Arial" w:eastAsia="Arial" w:hAnsi="Arial" w:cs="Arial"/>
          <w:sz w:val="22"/>
          <w:szCs w:val="22"/>
        </w:rPr>
        <w:t xml:space="preserve">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rsidRPr="2030048C" w:rsidP="2030048C">
      <w:pPr>
        <w:pStyle w:val="p"/>
        <w:spacing w:before="0" w:after="0"/>
        <w:ind w:left="0" w:right="0"/>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Demonstrations of tools, technical skills workshops, communication and presentation skills, self-reflection project reviews and crits, and peer project discussions will be offered on a regular basis as part of the module delivery throughout the Level 4.</w:t>
      </w: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In Level</w:t>
      </w:r>
      <w:r w:rsidRPr="2030048C">
        <w:rPr>
          <w:rFonts w:ascii="Arial" w:eastAsia="Arial" w:hAnsi="Arial" w:cs="Arial"/>
          <w:sz w:val="22"/>
          <w:szCs w:val="22"/>
        </w:rPr>
        <w:t>s</w:t>
      </w:r>
      <w:r w:rsidRPr="2030048C">
        <w:rPr>
          <w:rFonts w:ascii="Arial" w:eastAsia="Arial" w:hAnsi="Arial" w:cs="Arial"/>
          <w:sz w:val="22"/>
          <w:szCs w:val="22"/>
        </w:rPr>
        <w:t xml:space="preserve"> 5 and 6, the same will be supported by lectures to promote the analysis and evaluation of context, research on strategies for concept for design solution.</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Field trips and site visits, project reviews and crits, and discussions and debates will be a constant through levels 4, 5 &amp; 6 in the Fashion Design course.</w:t>
      </w: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iterative nature of the design process requires continual formative feedback</w:t>
      </w:r>
      <w:r w:rsidRPr="2030048C">
        <w:rPr>
          <w:rFonts w:ascii="Arial" w:eastAsia="Arial" w:hAnsi="Arial" w:cs="Arial"/>
          <w:sz w:val="22"/>
          <w:szCs w:val="22"/>
        </w:rPr>
        <w:t xml:space="preserve"> / feed forward through</w:t>
      </w:r>
      <w:r w:rsidRPr="2030048C">
        <w:rPr>
          <w:rFonts w:ascii="Arial" w:eastAsia="Arial" w:hAnsi="Arial" w:cs="Arial"/>
          <w:sz w:val="22"/>
          <w:szCs w:val="22"/>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Pr="2030048C">
        <w:rPr>
          <w:rFonts w:ascii="Arial" w:eastAsia="Arial" w:hAnsi="Arial" w:cs="Arial"/>
          <w:sz w:val="22"/>
          <w:szCs w:val="22"/>
        </w:rPr>
        <w:t>sessment of the second part of L</w:t>
      </w:r>
      <w:r w:rsidRPr="2030048C">
        <w:rPr>
          <w:rFonts w:ascii="Arial" w:eastAsia="Arial" w:hAnsi="Arial" w:cs="Arial"/>
          <w:sz w:val="22"/>
          <w:szCs w:val="22"/>
        </w:rPr>
        <w:t xml:space="preserve">evel 6 modules occurs at the end of </w:t>
      </w:r>
      <w:r w:rsidRPr="2030048C">
        <w:rPr>
          <w:rFonts w:ascii="Arial" w:eastAsia="Arial" w:hAnsi="Arial" w:cs="Arial"/>
          <w:sz w:val="22"/>
          <w:szCs w:val="22"/>
        </w:rPr>
        <w:t>T</w:t>
      </w:r>
      <w:r w:rsidRPr="2030048C">
        <w:rPr>
          <w:rFonts w:ascii="Arial" w:eastAsia="Arial" w:hAnsi="Arial" w:cs="Arial"/>
          <w:sz w:val="22"/>
          <w:szCs w:val="22"/>
        </w:rPr>
        <w:t xml:space="preserve">eaching </w:t>
      </w:r>
      <w:r w:rsidRPr="2030048C">
        <w:rPr>
          <w:rFonts w:ascii="Arial" w:eastAsia="Arial" w:hAnsi="Arial" w:cs="Arial"/>
          <w:sz w:val="22"/>
          <w:szCs w:val="22"/>
        </w:rPr>
        <w:t>B</w:t>
      </w:r>
      <w:r w:rsidRPr="2030048C">
        <w:rPr>
          <w:rFonts w:ascii="Arial" w:eastAsia="Arial" w:hAnsi="Arial" w:cs="Arial"/>
          <w:sz w:val="22"/>
          <w:szCs w:val="22"/>
        </w:rPr>
        <w:t>lock 2 through the submission and exhibition of appropriate project work - portfolio, personal design project</w:t>
      </w:r>
      <w:r w:rsidRPr="2030048C">
        <w:rPr>
          <w:rFonts w:ascii="Arial" w:eastAsia="Arial" w:hAnsi="Arial" w:cs="Arial"/>
          <w:sz w:val="22"/>
          <w:szCs w:val="22"/>
        </w:rPr>
        <w:t>,</w:t>
      </w:r>
      <w:r w:rsidRPr="2030048C">
        <w:rPr>
          <w:rFonts w:ascii="Arial" w:eastAsia="Arial" w:hAnsi="Arial" w:cs="Arial"/>
          <w:sz w:val="22"/>
          <w:szCs w:val="22"/>
        </w:rPr>
        <w:t xml:space="preserve"> </w:t>
      </w:r>
      <w:r w:rsidRPr="2030048C">
        <w:rPr>
          <w:rFonts w:ascii="Arial" w:eastAsia="Arial" w:hAnsi="Arial" w:cs="Arial"/>
          <w:sz w:val="22"/>
          <w:szCs w:val="22"/>
        </w:rPr>
        <w:t>and</w:t>
      </w:r>
      <w:r w:rsidRPr="2030048C">
        <w:rPr>
          <w:rFonts w:ascii="Arial" w:eastAsia="Arial" w:hAnsi="Arial" w:cs="Arial"/>
          <w:sz w:val="22"/>
          <w:szCs w:val="22"/>
        </w:rPr>
        <w:t xml:space="preserve"> individual research project</w:t>
      </w:r>
      <w:r w:rsidRPr="2030048C">
        <w:rPr>
          <w:rFonts w:ascii="Arial" w:eastAsia="Arial" w:hAnsi="Arial" w:cs="Arial"/>
          <w:sz w:val="22"/>
          <w:szCs w:val="22"/>
        </w:rPr>
        <w:t xml:space="preserve">. The Major Design Project is a capstone project that represents a culmination of the students’ prior </w:t>
      </w:r>
      <w:r w:rsidRPr="2030048C">
        <w:rPr>
          <w:rFonts w:ascii="Arial" w:eastAsia="Arial" w:hAnsi="Arial" w:cs="Arial"/>
          <w:sz w:val="22"/>
          <w:szCs w:val="22"/>
        </w:rPr>
        <w:t>program</w:t>
      </w:r>
      <w:r w:rsidRPr="2030048C">
        <w:rPr>
          <w:rFonts w:ascii="Arial" w:eastAsia="Arial" w:hAnsi="Arial" w:cs="Arial"/>
          <w:sz w:val="22"/>
          <w:szCs w:val="22"/>
        </w:rPr>
        <w:t>me</w:t>
      </w:r>
      <w:r w:rsidRPr="2030048C">
        <w:rPr>
          <w:rFonts w:ascii="Arial" w:eastAsia="Arial" w:hAnsi="Arial" w:cs="Arial"/>
          <w:sz w:val="22"/>
          <w:szCs w:val="22"/>
        </w:rPr>
        <w:t xml:space="preserve"> learning and positions them for their future ambitions. </w:t>
      </w: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w:t>
      </w:r>
      <w:r w:rsidRPr="2030048C">
        <w:rPr>
          <w:rFonts w:ascii="Arial" w:eastAsia="Arial" w:hAnsi="Arial" w:cs="Arial"/>
          <w:sz w:val="22"/>
          <w:szCs w:val="22"/>
        </w:rPr>
        <w:t xml:space="preserve">Institute will use studio-based learning </w:t>
      </w:r>
      <w:r w:rsidRPr="2030048C">
        <w:rPr>
          <w:rFonts w:ascii="Arial" w:eastAsia="Arial" w:hAnsi="Arial" w:cs="Arial"/>
          <w:sz w:val="22"/>
          <w:szCs w:val="22"/>
        </w:rPr>
        <w:t xml:space="preserve">to </w:t>
      </w:r>
      <w:r w:rsidRPr="2030048C">
        <w:rPr>
          <w:rFonts w:ascii="Arial" w:eastAsia="Arial" w:hAnsi="Arial" w:cs="Arial"/>
          <w:sz w:val="22"/>
          <w:szCs w:val="22"/>
        </w:rPr>
        <w:t>focus on learning through action in a personali</w:t>
      </w:r>
      <w:r w:rsidRPr="2030048C">
        <w:rPr>
          <w:rFonts w:ascii="Arial" w:eastAsia="Arial" w:hAnsi="Arial" w:cs="Arial"/>
          <w:sz w:val="22"/>
          <w:szCs w:val="22"/>
        </w:rPr>
        <w:t>s</w:t>
      </w:r>
      <w:r w:rsidRPr="2030048C">
        <w:rPr>
          <w:rFonts w:ascii="Arial" w:eastAsia="Arial" w:hAnsi="Arial" w:cs="Arial"/>
          <w:sz w:val="22"/>
          <w:szCs w:val="22"/>
        </w:rPr>
        <w:t xml:space="preserve">ed way. </w:t>
      </w:r>
      <w:r w:rsidRPr="2030048C">
        <w:rPr>
          <w:rFonts w:ascii="Arial" w:eastAsia="Arial" w:hAnsi="Arial" w:cs="Arial"/>
          <w:sz w:val="22"/>
          <w:szCs w:val="22"/>
        </w:rPr>
        <w:t xml:space="preserve">The </w:t>
      </w:r>
      <w:r w:rsidRPr="2030048C">
        <w:rPr>
          <w:rFonts w:ascii="Arial" w:eastAsia="Arial" w:hAnsi="Arial" w:cs="Arial"/>
          <w:sz w:val="22"/>
          <w:szCs w:val="22"/>
        </w:rPr>
        <w:t xml:space="preserve">Institute will provide </w:t>
      </w:r>
      <w:r w:rsidRPr="2030048C">
        <w:rPr>
          <w:rFonts w:ascii="Arial" w:eastAsia="Arial" w:hAnsi="Arial" w:cs="Arial"/>
          <w:sz w:val="22"/>
          <w:szCs w:val="22"/>
        </w:rPr>
        <w:t>a safe environment for students</w:t>
      </w:r>
      <w:r w:rsidRPr="2030048C">
        <w:rPr>
          <w:rFonts w:ascii="Arial" w:eastAsia="Arial" w:hAnsi="Arial" w:cs="Arial"/>
          <w:sz w:val="22"/>
          <w:szCs w:val="22"/>
        </w:rPr>
        <w:t xml:space="preserve"> to develop their own ideas and techniques.</w:t>
      </w:r>
      <w:r w:rsidRPr="2030048C">
        <w:rPr>
          <w:rFonts w:ascii="Arial" w:eastAsia="Arial" w:hAnsi="Arial" w:cs="Arial"/>
          <w:sz w:val="22"/>
          <w:szCs w:val="22"/>
        </w:rPr>
        <w:t xml:space="preserve">  </w:t>
      </w:r>
    </w:p>
    <w:p w:rsidRPr="2030048C" w:rsidP="2030048C">
      <w:pPr>
        <w:pStyle w:val="Body"/>
        <w:spacing w:before="0" w:after="0"/>
        <w:ind w:left="0" w:right="0"/>
        <w:jc w:val="both"/>
        <w:rPr>
          <w:rFonts w:ascii="Arial" w:eastAsia="Arial" w:hAnsi="Arial" w:cs="Arial"/>
          <w:sz w:val="22"/>
          <w:szCs w:val="22"/>
        </w:rPr>
      </w:pPr>
    </w:p>
    <w:p w:rsidRPr="2030048C" w:rsidP="2030048C">
      <w:pPr>
        <w:pStyle w:val="Body"/>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Further to studio based learning</w:t>
      </w:r>
      <w:r w:rsidRPr="2030048C">
        <w:rPr>
          <w:rFonts w:ascii="Arial" w:eastAsia="Arial" w:hAnsi="Arial" w:cs="Arial"/>
          <w:sz w:val="22"/>
          <w:szCs w:val="22"/>
        </w:rPr>
        <w:t>,</w:t>
      </w:r>
      <w:r w:rsidRPr="2030048C">
        <w:rPr>
          <w:rFonts w:ascii="Arial" w:eastAsia="Arial" w:hAnsi="Arial" w:cs="Arial"/>
          <w:sz w:val="22"/>
          <w:szCs w:val="22"/>
        </w:rPr>
        <w:t xml:space="preserve"> the delivery of </w:t>
      </w:r>
      <w:r w:rsidRPr="2030048C">
        <w:rPr>
          <w:rFonts w:ascii="Arial" w:eastAsia="Arial" w:hAnsi="Arial" w:cs="Arial"/>
          <w:sz w:val="22"/>
          <w:szCs w:val="22"/>
        </w:rPr>
        <w:t>modules will</w:t>
      </w:r>
      <w:r w:rsidRPr="2030048C">
        <w:rPr>
          <w:rFonts w:ascii="Arial" w:eastAsia="Arial" w:hAnsi="Arial" w:cs="Arial"/>
          <w:sz w:val="22"/>
          <w:szCs w:val="22"/>
        </w:rPr>
        <w:t xml:space="preserve"> also include</w:t>
      </w:r>
      <w:r w:rsidRPr="2030048C">
        <w:rPr>
          <w:rFonts w:ascii="Arial" w:eastAsia="Arial" w:hAnsi="Arial" w:cs="Arial"/>
          <w:sz w:val="22"/>
          <w:szCs w:val="22"/>
        </w:rPr>
        <w:t xml:space="preserve"> lectures, seminars, workshops, group critique, individual tutorials, demonstration</w:t>
      </w:r>
      <w:r w:rsidRPr="2030048C">
        <w:rPr>
          <w:rFonts w:ascii="Arial" w:eastAsia="Arial" w:hAnsi="Arial" w:cs="Arial"/>
          <w:sz w:val="22"/>
          <w:szCs w:val="22"/>
        </w:rPr>
        <w:t>s</w:t>
      </w:r>
      <w:r w:rsidRPr="2030048C">
        <w:rPr>
          <w:rFonts w:ascii="Arial" w:eastAsia="Arial" w:hAnsi="Arial" w:cs="Arial"/>
          <w:sz w:val="22"/>
          <w:szCs w:val="22"/>
        </w:rPr>
        <w:t>, project</w:t>
      </w:r>
      <w:r w:rsidRPr="2030048C">
        <w:rPr>
          <w:rFonts w:ascii="Arial" w:eastAsia="Arial" w:hAnsi="Arial" w:cs="Arial"/>
          <w:sz w:val="22"/>
          <w:szCs w:val="22"/>
        </w:rPr>
        <w:t>-</w:t>
      </w:r>
      <w:r w:rsidRPr="2030048C">
        <w:rPr>
          <w:rFonts w:ascii="Arial" w:eastAsia="Arial" w:hAnsi="Arial" w:cs="Arial"/>
          <w:sz w:val="22"/>
          <w:szCs w:val="22"/>
        </w:rPr>
        <w:t>briefings, study visits, peer</w:t>
      </w:r>
      <w:r w:rsidRPr="2030048C">
        <w:rPr>
          <w:rFonts w:ascii="Arial" w:eastAsia="Arial" w:hAnsi="Arial" w:cs="Arial"/>
          <w:sz w:val="22"/>
          <w:szCs w:val="22"/>
        </w:rPr>
        <w:t>-</w:t>
      </w:r>
      <w:r w:rsidRPr="2030048C">
        <w:rPr>
          <w:rFonts w:ascii="Arial" w:eastAsia="Arial" w:hAnsi="Arial" w:cs="Arial"/>
          <w:sz w:val="22"/>
          <w:szCs w:val="22"/>
        </w:rPr>
        <w:t>learning</w:t>
      </w:r>
      <w:r w:rsidRPr="2030048C">
        <w:rPr>
          <w:rFonts w:ascii="Arial" w:eastAsia="Arial" w:hAnsi="Arial" w:cs="Arial"/>
          <w:sz w:val="22"/>
          <w:szCs w:val="22"/>
        </w:rPr>
        <w:t xml:space="preserve"> activities</w:t>
      </w:r>
      <w:r w:rsidRPr="2030048C">
        <w:rPr>
          <w:rFonts w:ascii="Arial" w:eastAsia="Arial" w:hAnsi="Arial" w:cs="Arial"/>
          <w:sz w:val="22"/>
          <w:szCs w:val="22"/>
        </w:rPr>
        <w:t xml:space="preserve">, and independent </w:t>
      </w:r>
      <w:r w:rsidRPr="2030048C">
        <w:rPr>
          <w:rFonts w:ascii="Arial" w:eastAsia="Arial" w:hAnsi="Arial" w:cs="Arial"/>
          <w:sz w:val="22"/>
          <w:szCs w:val="22"/>
        </w:rPr>
        <w:t>study</w:t>
      </w:r>
      <w:r w:rsidRPr="2030048C">
        <w:rPr>
          <w:rFonts w:ascii="Arial" w:eastAsia="Arial" w:hAnsi="Arial" w:cs="Arial"/>
          <w:sz w:val="22"/>
          <w:szCs w:val="22"/>
        </w:rPr>
        <w:t>.</w:t>
      </w:r>
      <w:r w:rsidRPr="2030048C">
        <w:rPr>
          <w:rFonts w:ascii="Arial" w:eastAsia="Arial" w:hAnsi="Arial" w:cs="Arial"/>
          <w:sz w:val="22"/>
          <w:szCs w:val="22"/>
        </w:rPr>
        <w:t xml:space="preserve"> </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
        <w:widowControl w:val="0"/>
        <w:numPr>
          <w:ilvl w:val="0"/>
          <w:numId w:val="25"/>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b/>
          <w:bCs/>
          <w:sz w:val="22"/>
          <w:szCs w:val="22"/>
        </w:rPr>
        <w:t>Lectures</w:t>
      </w:r>
      <w:r w:rsidRPr="2030048C">
        <w:rPr>
          <w:rFonts w:ascii="Arial" w:eastAsia="Arial" w:hAnsi="Arial" w:cs="Arial"/>
          <w:sz w:val="22"/>
          <w:szCs w:val="22"/>
        </w:rPr>
        <w:t xml:space="preserve"> - A member of staff or invited guest will provide taught input, often followed up by group discussion to ensure a full understanding and to encourage critical analysis of the material. </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
        <w:widowControl w:val="0"/>
        <w:numPr>
          <w:ilvl w:val="0"/>
          <w:numId w:val="26"/>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b/>
          <w:bCs/>
          <w:sz w:val="22"/>
          <w:szCs w:val="22"/>
        </w:rPr>
        <w:t>Seminars</w:t>
      </w:r>
      <w:r w:rsidRPr="2030048C">
        <w:rPr>
          <w:rFonts w:ascii="Arial" w:eastAsia="Arial" w:hAnsi="Arial" w:cs="Arial"/>
          <w:sz w:val="22"/>
          <w:szCs w:val="22"/>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rsidRPr="2030048C" w:rsidP="2030048C">
      <w:pPr>
        <w:pStyle w:val="p"/>
        <w:widowControl w:val="0"/>
        <w:spacing w:before="0" w:after="0"/>
        <w:ind w:left="360" w:right="0" w:hanging="360"/>
        <w:jc w:val="both"/>
        <w:rPr>
          <w:rFonts w:ascii="Arial" w:eastAsia="Arial" w:hAnsi="Arial" w:cs="Arial"/>
          <w:sz w:val="22"/>
          <w:szCs w:val="22"/>
        </w:rPr>
      </w:pPr>
    </w:p>
    <w:p w:rsidRPr="2030048C" w:rsidP="2030048C">
      <w:pPr>
        <w:pStyle w:val="li"/>
        <w:widowControl w:val="0"/>
        <w:numPr>
          <w:ilvl w:val="0"/>
          <w:numId w:val="27"/>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b/>
          <w:bCs/>
          <w:sz w:val="22"/>
          <w:szCs w:val="22"/>
        </w:rPr>
        <w:t xml:space="preserve">Group Critique </w:t>
      </w:r>
      <w:r w:rsidRPr="2030048C">
        <w:rPr>
          <w:rFonts w:ascii="Arial" w:eastAsia="Arial" w:hAnsi="Arial" w:cs="Arial"/>
          <w:sz w:val="22"/>
          <w:szCs w:val="22"/>
        </w:rPr>
        <w:t xml:space="preserve">- Commonly known as Group </w:t>
      </w:r>
      <w:r w:rsidRPr="2030048C">
        <w:rPr>
          <w:rFonts w:ascii="Arial" w:eastAsia="Arial" w:hAnsi="Arial" w:cs="Arial"/>
          <w:sz w:val="22"/>
          <w:szCs w:val="22"/>
        </w:rPr>
        <w:t>‘Crits’</w:t>
      </w:r>
      <w:r w:rsidRPr="2030048C">
        <w:rPr>
          <w:rFonts w:ascii="Arial" w:eastAsia="Arial" w:hAnsi="Arial" w:cs="Arial"/>
          <w:sz w:val="22"/>
          <w:szCs w:val="22"/>
        </w:rPr>
        <w:t xml:space="preserve">. On these occasions a group of students and members of staff and, if appropriate, invited industry guests will discuss the work of one or more students who are present. Group crits can take place in studios or students’ work place, if appropriate;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w:t>
      </w:r>
      <w:r w:rsidRPr="2030048C">
        <w:rPr>
          <w:rFonts w:ascii="Arial" w:eastAsia="Arial" w:hAnsi="Arial" w:cs="Arial"/>
          <w:sz w:val="22"/>
          <w:szCs w:val="22"/>
        </w:rPr>
        <w:t xml:space="preserve">Additionally group crits provide opportunities for ‘feed-forward’ in relation to project aims, </w:t>
      </w:r>
      <w:r w:rsidRPr="2030048C">
        <w:rPr>
          <w:rFonts w:ascii="Arial" w:eastAsia="Arial" w:hAnsi="Arial" w:cs="Arial"/>
          <w:sz w:val="22"/>
          <w:szCs w:val="22"/>
        </w:rPr>
        <w:t>programme</w:t>
      </w:r>
      <w:r w:rsidRPr="2030048C">
        <w:rPr>
          <w:rFonts w:ascii="Arial" w:eastAsia="Arial" w:hAnsi="Arial" w:cs="Arial"/>
          <w:sz w:val="22"/>
          <w:szCs w:val="22"/>
        </w:rPr>
        <w:t xml:space="preserve"> aims and student outcomes.</w:t>
      </w:r>
    </w:p>
    <w:p w:rsidRPr="2030048C" w:rsidP="2030048C">
      <w:pPr>
        <w:pStyle w:val="p"/>
        <w:widowControl w:val="0"/>
        <w:spacing w:before="0" w:after="0"/>
        <w:ind w:left="360" w:right="0" w:hanging="360"/>
        <w:jc w:val="both"/>
        <w:rPr>
          <w:rFonts w:ascii="Arial" w:eastAsia="Arial" w:hAnsi="Arial" w:cs="Arial"/>
          <w:sz w:val="22"/>
          <w:szCs w:val="22"/>
        </w:rPr>
      </w:pPr>
    </w:p>
    <w:p w:rsidRPr="2030048C" w:rsidP="2030048C">
      <w:pPr>
        <w:pStyle w:val="li"/>
        <w:widowControl w:val="0"/>
        <w:numPr>
          <w:ilvl w:val="0"/>
          <w:numId w:val="28"/>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b/>
          <w:bCs/>
          <w:sz w:val="22"/>
          <w:szCs w:val="22"/>
        </w:rPr>
        <w:t>Tutorials</w:t>
      </w:r>
      <w:r w:rsidRPr="2030048C">
        <w:rPr>
          <w:rFonts w:ascii="Arial" w:eastAsia="Arial" w:hAnsi="Arial" w:cs="Arial"/>
          <w:sz w:val="22"/>
          <w:szCs w:val="22"/>
        </w:rPr>
        <w:t xml:space="preserve"> - Opportunities to strategically discuss a range of issues relating to individual development and to clarify existing knowledge, to support essay and project initiatives, and to guide and facilitate further independent and creative learning and thought.</w:t>
      </w:r>
      <w:r w:rsidRPr="2030048C">
        <w:rPr>
          <w:rFonts w:ascii="Arial" w:eastAsia="Arial" w:hAnsi="Arial" w:cs="Arial"/>
          <w:sz w:val="22"/>
          <w:szCs w:val="22"/>
        </w:rPr>
        <w:t xml:space="preserve">  </w:t>
      </w:r>
      <w:r w:rsidRPr="2030048C">
        <w:rPr>
          <w:rFonts w:ascii="Arial" w:eastAsia="Arial" w:hAnsi="Arial" w:cs="Arial"/>
          <w:sz w:val="22"/>
          <w:szCs w:val="22"/>
        </w:rPr>
        <w:t>They also provide opportunities for formative assessment where students receive feedback on completed work and feed forward on work in progress.</w:t>
      </w:r>
    </w:p>
    <w:p w:rsidRPr="2030048C" w:rsidP="2030048C">
      <w:pPr>
        <w:pStyle w:val="p"/>
        <w:spacing w:before="0" w:after="0"/>
        <w:ind w:left="360" w:right="0" w:hanging="360"/>
        <w:jc w:val="both"/>
        <w:rPr>
          <w:rFonts w:ascii="Arial" w:eastAsia="Arial" w:hAnsi="Arial" w:cs="Arial"/>
          <w:sz w:val="22"/>
          <w:szCs w:val="22"/>
        </w:rPr>
      </w:pPr>
    </w:p>
    <w:p w:rsidRPr="2030048C" w:rsidP="2030048C">
      <w:pPr>
        <w:pStyle w:val="li"/>
        <w:widowControl w:val="0"/>
        <w:numPr>
          <w:ilvl w:val="0"/>
          <w:numId w:val="29"/>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b/>
          <w:bCs/>
          <w:sz w:val="22"/>
          <w:szCs w:val="22"/>
        </w:rPr>
        <w:t>Demonstration</w:t>
      </w:r>
      <w:r w:rsidRPr="2030048C">
        <w:rPr>
          <w:rFonts w:ascii="Arial" w:eastAsia="Arial" w:hAnsi="Arial" w:cs="Arial"/>
          <w:sz w:val="22"/>
          <w:szCs w:val="22"/>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Pr="2030048C">
        <w:rPr>
          <w:rFonts w:ascii="Arial" w:eastAsia="Arial" w:hAnsi="Arial" w:cs="Arial"/>
          <w:sz w:val="22"/>
          <w:szCs w:val="22"/>
        </w:rPr>
        <w:t>necessarily</w:t>
      </w:r>
      <w:r w:rsidRPr="2030048C">
        <w:rPr>
          <w:rFonts w:ascii="Arial" w:eastAsia="Arial" w:hAnsi="Arial" w:cs="Arial"/>
          <w:sz w:val="22"/>
          <w:szCs w:val="22"/>
        </w:rPr>
        <w:t xml:space="preserve"> go on to learn and apply the skills or knowledge.</w:t>
      </w:r>
    </w:p>
    <w:p w:rsidRPr="2030048C" w:rsidP="2030048C">
      <w:pPr>
        <w:pStyle w:val="p"/>
        <w:widowControl w:val="0"/>
        <w:spacing w:before="0" w:after="0"/>
        <w:ind w:left="360" w:right="0" w:hanging="360"/>
        <w:jc w:val="both"/>
        <w:rPr>
          <w:rFonts w:ascii="Arial" w:eastAsia="Arial" w:hAnsi="Arial" w:cs="Arial"/>
          <w:sz w:val="22"/>
          <w:szCs w:val="22"/>
        </w:rPr>
      </w:pPr>
    </w:p>
    <w:p w:rsidRPr="2030048C" w:rsidP="2030048C">
      <w:pPr>
        <w:pStyle w:val="li"/>
        <w:numPr>
          <w:ilvl w:val="0"/>
          <w:numId w:val="30"/>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b/>
          <w:bCs/>
          <w:sz w:val="22"/>
          <w:szCs w:val="22"/>
        </w:rPr>
        <w:t>Study Visits</w:t>
      </w:r>
      <w:r w:rsidRPr="2030048C">
        <w:rPr>
          <w:rFonts w:ascii="Arial" w:eastAsia="Arial" w:hAnsi="Arial" w:cs="Arial"/>
          <w:sz w:val="22"/>
          <w:szCs w:val="22"/>
        </w:rPr>
        <w:t xml:space="preserve"> - By definition, a study visit will involve traveling to strategic venues of interest that may vary from visits to </w:t>
      </w:r>
      <w:r w:rsidRPr="2030048C">
        <w:rPr>
          <w:rFonts w:ascii="Arial" w:eastAsia="Arial" w:hAnsi="Arial" w:cs="Arial"/>
          <w:sz w:val="22"/>
          <w:szCs w:val="22"/>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Pr="2030048C" w:rsidP="2030048C">
      <w:pPr>
        <w:pStyle w:val="p"/>
        <w:spacing w:before="0" w:after="0"/>
        <w:ind w:left="360" w:right="0" w:hanging="360"/>
        <w:jc w:val="both"/>
        <w:rPr>
          <w:rFonts w:ascii="Arial" w:eastAsia="Arial" w:hAnsi="Arial" w:cs="Arial"/>
          <w:sz w:val="22"/>
          <w:szCs w:val="22"/>
        </w:rPr>
      </w:pPr>
    </w:p>
    <w:p w:rsidRPr="2030048C" w:rsidP="2030048C">
      <w:pPr>
        <w:pStyle w:val="li"/>
        <w:widowControl w:val="0"/>
        <w:numPr>
          <w:ilvl w:val="0"/>
          <w:numId w:val="31"/>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b/>
          <w:bCs/>
          <w:sz w:val="22"/>
          <w:szCs w:val="22"/>
        </w:rPr>
        <w:t>Briefing</w:t>
      </w:r>
      <w:r w:rsidRPr="2030048C">
        <w:rPr>
          <w:rFonts w:ascii="Arial" w:eastAsia="Arial" w:hAnsi="Arial" w:cs="Arial"/>
          <w:sz w:val="22"/>
          <w:szCs w:val="22"/>
        </w:rPr>
        <w:t xml:space="preserve"> - </w:t>
      </w:r>
      <w:r w:rsidRPr="2030048C">
        <w:rPr>
          <w:rFonts w:ascii="Arial" w:eastAsia="Arial" w:hAnsi="Arial" w:cs="Arial"/>
          <w:sz w:val="22"/>
          <w:szCs w:val="22"/>
        </w:rPr>
        <w:t>A briefing takes place to make known and explain specifics of projects; theme, aims &amp; objectives, learning outcomes, timetable etc.</w:t>
      </w:r>
    </w:p>
    <w:p w:rsidRPr="2030048C" w:rsidP="2030048C">
      <w:pPr>
        <w:pStyle w:val="p"/>
        <w:widowControl w:val="0"/>
        <w:spacing w:before="0" w:after="0"/>
        <w:ind w:left="360" w:right="0" w:hanging="360"/>
        <w:jc w:val="both"/>
        <w:rPr>
          <w:rFonts w:ascii="Arial" w:eastAsia="Arial" w:hAnsi="Arial" w:cs="Arial"/>
          <w:sz w:val="22"/>
          <w:szCs w:val="22"/>
        </w:rPr>
      </w:pPr>
    </w:p>
    <w:p w:rsidRPr="2030048C" w:rsidP="2030048C">
      <w:pPr>
        <w:pStyle w:val="li"/>
        <w:widowControl w:val="0"/>
        <w:numPr>
          <w:ilvl w:val="0"/>
          <w:numId w:val="32"/>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b/>
          <w:bCs/>
          <w:sz w:val="22"/>
          <w:szCs w:val="22"/>
        </w:rPr>
        <w:t>Peer Learning</w:t>
      </w:r>
      <w:r w:rsidRPr="2030048C">
        <w:rPr>
          <w:rFonts w:ascii="Arial" w:eastAsia="Arial" w:hAnsi="Arial" w:cs="Arial"/>
          <w:sz w:val="22"/>
          <w:szCs w:val="22"/>
        </w:rPr>
        <w:t xml:space="preserve"> - A vital component of teaching and learning practices of this design course. The work of the course is largely studio based, and thus enables students to take notice of each other’s work and discuss progress and issues informally. Peer learning will also takes place through other activity such as group crits and seminars.</w:t>
      </w:r>
    </w:p>
    <w:p w:rsidRPr="2030048C" w:rsidP="2030048C">
      <w:pPr>
        <w:pStyle w:val="p"/>
        <w:widowControl w:val="0"/>
        <w:spacing w:before="0" w:after="0"/>
        <w:ind w:left="360" w:right="0" w:hanging="360"/>
        <w:jc w:val="both"/>
        <w:rPr>
          <w:rFonts w:ascii="Arial" w:eastAsia="Arial" w:hAnsi="Arial" w:cs="Arial"/>
          <w:sz w:val="22"/>
          <w:szCs w:val="22"/>
        </w:rPr>
      </w:pPr>
    </w:p>
    <w:p w:rsidRPr="2030048C" w:rsidP="2030048C">
      <w:pPr>
        <w:pStyle w:val="li"/>
        <w:widowControl w:val="0"/>
        <w:numPr>
          <w:ilvl w:val="0"/>
          <w:numId w:val="33"/>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b/>
          <w:bCs/>
          <w:sz w:val="22"/>
          <w:szCs w:val="22"/>
        </w:rPr>
        <w:t>Independent Study</w:t>
      </w:r>
      <w:r w:rsidRPr="2030048C">
        <w:rPr>
          <w:rFonts w:ascii="Arial" w:eastAsia="Arial" w:hAnsi="Arial" w:cs="Arial"/>
          <w:sz w:val="22"/>
          <w:szCs w:val="22"/>
        </w:rPr>
        <w:t xml:space="preserve"> </w:t>
      </w:r>
      <w:r w:rsidRPr="2030048C">
        <w:rPr>
          <w:rFonts w:ascii="Arial" w:eastAsia="Arial" w:hAnsi="Arial" w:cs="Arial"/>
          <w:sz w:val="22"/>
          <w:szCs w:val="22"/>
        </w:rPr>
        <w:t xml:space="preserve">- </w:t>
      </w:r>
      <w:r w:rsidRPr="2030048C">
        <w:rPr>
          <w:rFonts w:ascii="Arial" w:eastAsia="Arial" w:hAnsi="Arial" w:cs="Arial"/>
          <w:sz w:val="22"/>
          <w:szCs w:val="22"/>
        </w:rPr>
        <w:t>By independent learning the institute means the following: -</w:t>
      </w:r>
    </w:p>
    <w:p w:rsidRPr="2030048C" w:rsidP="2030048C">
      <w:pPr>
        <w:pStyle w:val="p"/>
        <w:widowControl w:val="0"/>
        <w:spacing w:before="0" w:after="0"/>
        <w:ind w:left="36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Each module is divided into </w:t>
      </w:r>
      <w:r w:rsidRPr="2030048C">
        <w:rPr>
          <w:rFonts w:ascii="Arial" w:eastAsia="Arial" w:hAnsi="Arial" w:cs="Arial"/>
          <w:sz w:val="22"/>
          <w:szCs w:val="22"/>
        </w:rPr>
        <w:t xml:space="preserve">contact and non-contact hours with faculty. The independent study comprises the non-contact hours. </w:t>
      </w:r>
      <w:r w:rsidRPr="2030048C">
        <w:rPr>
          <w:rFonts w:ascii="Arial" w:eastAsia="Arial" w:hAnsi="Arial" w:cs="Arial"/>
          <w:sz w:val="22"/>
          <w:szCs w:val="22"/>
        </w:rPr>
        <w:t>Independent learning as we see it is also incrementally phased in the program</w:t>
      </w:r>
      <w:r w:rsidRPr="2030048C">
        <w:rPr>
          <w:rFonts w:ascii="Arial" w:eastAsia="Arial" w:hAnsi="Arial" w:cs="Arial"/>
          <w:sz w:val="22"/>
          <w:szCs w:val="22"/>
        </w:rPr>
        <w:t>me</w:t>
      </w:r>
      <w:r w:rsidRPr="2030048C">
        <w:rPr>
          <w:rFonts w:ascii="Arial" w:eastAsia="Arial" w:hAnsi="Arial" w:cs="Arial"/>
          <w:sz w:val="22"/>
          <w:szCs w:val="22"/>
        </w:rPr>
        <w:t xml:space="preserve"> with student</w:t>
      </w:r>
      <w:r w:rsidRPr="2030048C">
        <w:rPr>
          <w:rFonts w:ascii="Arial" w:eastAsia="Arial" w:hAnsi="Arial" w:cs="Arial"/>
          <w:sz w:val="22"/>
          <w:szCs w:val="22"/>
        </w:rPr>
        <w:t>s</w:t>
      </w:r>
      <w:r w:rsidRPr="2030048C">
        <w:rPr>
          <w:rFonts w:ascii="Arial" w:eastAsia="Arial" w:hAnsi="Arial" w:cs="Arial"/>
          <w:sz w:val="22"/>
          <w:szCs w:val="22"/>
        </w:rPr>
        <w:t xml:space="preserve"> becoming more and more </w:t>
      </w:r>
      <w:r w:rsidRPr="2030048C">
        <w:rPr>
          <w:rFonts w:ascii="Arial" w:eastAsia="Arial" w:hAnsi="Arial" w:cs="Arial"/>
          <w:sz w:val="22"/>
          <w:szCs w:val="22"/>
        </w:rPr>
        <w:t>self-dependent</w:t>
      </w:r>
      <w:r w:rsidRPr="2030048C">
        <w:rPr>
          <w:rFonts w:ascii="Arial" w:eastAsia="Arial" w:hAnsi="Arial" w:cs="Arial"/>
          <w:sz w:val="22"/>
          <w:szCs w:val="22"/>
        </w:rPr>
        <w:t xml:space="preserve"> in their learning as they make their way up the levels. </w:t>
      </w:r>
    </w:p>
    <w:p w:rsidRPr="2030048C" w:rsidP="2030048C">
      <w:pPr>
        <w:pStyle w:val="p"/>
        <w:widowControl w:val="0"/>
        <w:spacing w:before="0" w:after="0"/>
        <w:ind w:left="360" w:right="0"/>
        <w:jc w:val="both"/>
        <w:rPr>
          <w:rFonts w:ascii="Times New Roman" w:eastAsia="Times New Roman" w:hAnsi="Times New Roman" w:cs="Times New Roman"/>
          <w:sz w:val="22"/>
          <w:szCs w:val="22"/>
        </w:rPr>
      </w:pPr>
      <w:r w:rsidRPr="2030048C">
        <w:rPr>
          <w:rFonts w:ascii="Arial" w:eastAsia="Arial" w:hAnsi="Arial" w:cs="Arial"/>
          <w:sz w:val="22"/>
          <w:szCs w:val="22"/>
        </w:rPr>
        <w:t>We also understand independent learning as being qualitatively different from contact hours with the faculty</w:t>
      </w:r>
      <w:r w:rsidRPr="2030048C">
        <w:rPr>
          <w:rFonts w:ascii="Arial" w:eastAsia="Arial" w:hAnsi="Arial" w:cs="Arial"/>
          <w:sz w:val="22"/>
          <w:szCs w:val="22"/>
        </w:rPr>
        <w:t>,</w:t>
      </w:r>
      <w:r w:rsidRPr="2030048C">
        <w:rPr>
          <w:rFonts w:ascii="Arial" w:eastAsia="Arial" w:hAnsi="Arial" w:cs="Arial"/>
          <w:sz w:val="22"/>
          <w:szCs w:val="22"/>
        </w:rPr>
        <w:t xml:space="preserve"> in the sense that </w:t>
      </w:r>
      <w:r w:rsidRPr="2030048C">
        <w:rPr>
          <w:rFonts w:ascii="Arial" w:eastAsia="Arial" w:hAnsi="Arial" w:cs="Arial"/>
          <w:sz w:val="22"/>
          <w:szCs w:val="22"/>
        </w:rPr>
        <w:t xml:space="preserve">here the students take a leading role in the learning process. </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
        <w:numPr>
          <w:ilvl w:val="0"/>
          <w:numId w:val="34"/>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b/>
          <w:bCs/>
          <w:sz w:val="22"/>
          <w:szCs w:val="22"/>
        </w:rPr>
        <w:t>Research</w:t>
      </w:r>
      <w:r w:rsidRPr="2030048C">
        <w:rPr>
          <w:rFonts w:ascii="Arial" w:eastAsia="Arial" w:hAnsi="Arial" w:cs="Arial"/>
          <w:b/>
          <w:bCs/>
          <w:sz w:val="22"/>
          <w:szCs w:val="22"/>
        </w:rPr>
        <w:t xml:space="preserve">/Professional Practice </w:t>
      </w:r>
      <w:r w:rsidRPr="2030048C">
        <w:rPr>
          <w:rFonts w:ascii="Arial" w:eastAsia="Arial" w:hAnsi="Arial" w:cs="Arial"/>
          <w:b/>
          <w:bCs/>
          <w:sz w:val="22"/>
          <w:szCs w:val="22"/>
        </w:rPr>
        <w:t>Informed Teaching</w:t>
      </w:r>
      <w:r w:rsidRPr="2030048C">
        <w:rPr>
          <w:rFonts w:ascii="Arial" w:eastAsia="Arial" w:hAnsi="Arial" w:cs="Arial"/>
          <w:sz w:val="22"/>
          <w:szCs w:val="22"/>
        </w:rPr>
        <w:t xml:space="preserve"> - </w:t>
      </w:r>
      <w:r w:rsidRPr="2030048C">
        <w:rPr>
          <w:rFonts w:ascii="Arial" w:eastAsia="Arial" w:hAnsi="Arial" w:cs="Arial"/>
          <w:sz w:val="22"/>
          <w:szCs w:val="22"/>
        </w:rPr>
        <w:t xml:space="preserve">Research informed teaching operates throughout the course, with research active and professionally engaged staff integrating and contributing their current and </w:t>
      </w:r>
      <w:r w:rsidRPr="2030048C">
        <w:rPr>
          <w:rFonts w:ascii="Arial" w:eastAsia="Arial" w:hAnsi="Arial" w:cs="Arial"/>
          <w:sz w:val="22"/>
          <w:szCs w:val="22"/>
        </w:rPr>
        <w:t>on-going</w:t>
      </w:r>
      <w:r w:rsidRPr="2030048C">
        <w:rPr>
          <w:rFonts w:ascii="Arial" w:eastAsia="Arial" w:hAnsi="Arial" w:cs="Arial"/>
          <w:sz w:val="22"/>
          <w:szCs w:val="22"/>
        </w:rPr>
        <w:t xml:space="preserve"> knowledge in the development of the </w:t>
      </w:r>
      <w:r w:rsidRPr="2030048C">
        <w:rPr>
          <w:rFonts w:ascii="Arial" w:eastAsia="Arial" w:hAnsi="Arial" w:cs="Arial"/>
          <w:sz w:val="22"/>
          <w:szCs w:val="22"/>
        </w:rPr>
        <w:t>program</w:t>
      </w:r>
      <w:r w:rsidRPr="2030048C">
        <w:rPr>
          <w:rFonts w:ascii="Arial" w:eastAsia="Arial" w:hAnsi="Arial" w:cs="Arial"/>
          <w:sz w:val="22"/>
          <w:szCs w:val="22"/>
        </w:rPr>
        <w:t>me</w:t>
      </w:r>
      <w:r w:rsidRPr="2030048C">
        <w:rPr>
          <w:rFonts w:ascii="Arial" w:eastAsia="Arial" w:hAnsi="Arial" w:cs="Arial"/>
          <w:sz w:val="22"/>
          <w:szCs w:val="22"/>
        </w:rPr>
        <w:t xml:space="preserve">, the curriculum, the modules and the course’s teaching and learning processes. Knowledge and understanding of research skills and techniques are implicit in the design process and as such permeate the course. </w:t>
      </w:r>
    </w:p>
    <w:p w:rsidRPr="2030048C" w:rsidP="2030048C">
      <w:pPr>
        <w:pStyle w:val="p"/>
        <w:spacing w:before="0" w:after="0"/>
        <w:ind w:left="0" w:right="0"/>
        <w:rPr>
          <w:rFonts w:ascii="Times New Roman" w:eastAsia="Times New Roman" w:hAnsi="Times New Roman" w:cs="Times New Roman"/>
          <w:sz w:val="22"/>
          <w:szCs w:val="22"/>
        </w:rPr>
      </w:pPr>
      <w:r w:rsidRPr="2030048C">
        <w:rPr>
          <w:rFonts w:ascii="Times New Roman" w:eastAsia="Times New Roman" w:hAnsi="Times New Roman" w:cs="Times New Roman"/>
          <w:sz w:val="22"/>
          <w:szCs w:val="22"/>
        </w:rPr>
        <w:br w:type="page"/>
      </w: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rPr>
        <w:t>ASSESSMENT</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color w:val="222222"/>
          <w:sz w:val="22"/>
          <w:szCs w:val="22"/>
          <w:shd w:val="clear" w:color="auto" w:fill="FFFFFF"/>
        </w:rPr>
        <w:t>Assessment is both summative and formative.</w:t>
      </w:r>
      <w:r w:rsidRPr="2030048C">
        <w:rPr>
          <w:rFonts w:ascii="Arial" w:eastAsia="Arial" w:hAnsi="Arial" w:cs="Arial"/>
          <w:color w:val="222222"/>
          <w:sz w:val="22"/>
          <w:szCs w:val="22"/>
          <w:shd w:val="clear" w:color="auto" w:fill="FFFFFF"/>
        </w:rPr>
        <w:t> </w:t>
      </w:r>
      <w:r w:rsidRPr="2030048C">
        <w:rPr>
          <w:rFonts w:ascii="Arial" w:eastAsia="Arial" w:hAnsi="Arial" w:cs="Arial"/>
          <w:color w:val="222222"/>
          <w:sz w:val="22"/>
          <w:szCs w:val="22"/>
          <w:shd w:val="clear" w:color="auto" w:fill="FFFFFF"/>
        </w:rPr>
        <w:t xml:space="preserve"> Primarily, summative assessment is intended to identify what has been learned (assessment</w:t>
      </w:r>
      <w:r w:rsidRPr="2030048C">
        <w:rPr>
          <w:rFonts w:ascii="Arial" w:eastAsia="Arial" w:hAnsi="Arial" w:cs="Arial"/>
          <w:color w:val="222222"/>
          <w:sz w:val="22"/>
          <w:szCs w:val="22"/>
          <w:shd w:val="clear" w:color="auto" w:fill="FFFFFF"/>
        </w:rPr>
        <w:t> </w:t>
      </w:r>
      <w:r w:rsidRPr="2030048C">
        <w:rPr>
          <w:rFonts w:ascii="Arial" w:eastAsia="Arial" w:hAnsi="Arial" w:cs="Arial"/>
          <w:color w:val="222222"/>
          <w:sz w:val="22"/>
          <w:szCs w:val="22"/>
          <w:u w:val="single" w:color="222222"/>
          <w:shd w:val="clear" w:color="auto" w:fill="FFFFFF"/>
        </w:rPr>
        <w:t>of</w:t>
      </w:r>
      <w:r w:rsidRPr="2030048C">
        <w:rPr>
          <w:rFonts w:ascii="Arial" w:eastAsia="Arial" w:hAnsi="Arial" w:cs="Arial"/>
          <w:color w:val="222222"/>
          <w:sz w:val="22"/>
          <w:szCs w:val="22"/>
          <w:shd w:val="clear" w:color="auto" w:fill="FFFFFF"/>
        </w:rPr>
        <w:t> </w:t>
      </w:r>
      <w:r w:rsidRPr="2030048C">
        <w:rPr>
          <w:rFonts w:ascii="Arial" w:eastAsia="Arial" w:hAnsi="Arial" w:cs="Arial"/>
          <w:color w:val="222222"/>
          <w:sz w:val="22"/>
          <w:szCs w:val="22"/>
          <w:shd w:val="clear" w:color="auto" w:fill="FFFFFF"/>
        </w:rPr>
        <w:t>learning) and therefore assessed mark counts towards the module grade awarded.</w:t>
      </w:r>
      <w:r w:rsidRPr="2030048C">
        <w:rPr>
          <w:rFonts w:ascii="Arial" w:eastAsia="Arial" w:hAnsi="Arial" w:cs="Arial"/>
          <w:color w:val="222222"/>
          <w:sz w:val="22"/>
          <w:szCs w:val="22"/>
          <w:shd w:val="clear" w:color="auto" w:fill="FFFFFF"/>
        </w:rPr>
        <w:t> </w:t>
      </w:r>
      <w:r w:rsidRPr="2030048C">
        <w:rPr>
          <w:rFonts w:ascii="Arial" w:eastAsia="Arial" w:hAnsi="Arial" w:cs="Arial"/>
          <w:color w:val="222222"/>
          <w:sz w:val="22"/>
          <w:szCs w:val="22"/>
          <w:shd w:val="clear" w:color="auto" w:fill="FFFFFF"/>
        </w:rPr>
        <w:t xml:space="preserve"> Formative assessment is intended to help students to learn (assessment</w:t>
      </w:r>
      <w:r w:rsidRPr="2030048C">
        <w:rPr>
          <w:rFonts w:ascii="Arial" w:eastAsia="Arial" w:hAnsi="Arial" w:cs="Arial"/>
          <w:color w:val="222222"/>
          <w:sz w:val="22"/>
          <w:szCs w:val="22"/>
          <w:shd w:val="clear" w:color="auto" w:fill="FFFFFF"/>
        </w:rPr>
        <w:t> </w:t>
      </w:r>
      <w:r w:rsidRPr="2030048C">
        <w:rPr>
          <w:rFonts w:ascii="Arial" w:eastAsia="Arial" w:hAnsi="Arial" w:cs="Arial"/>
          <w:color w:val="222222"/>
          <w:sz w:val="22"/>
          <w:szCs w:val="22"/>
          <w:u w:val="single" w:color="222222"/>
          <w:shd w:val="clear" w:color="auto" w:fill="FFFFFF"/>
        </w:rPr>
        <w:t>for</w:t>
      </w:r>
      <w:r w:rsidRPr="2030048C">
        <w:rPr>
          <w:rFonts w:ascii="Arial" w:eastAsia="Arial" w:hAnsi="Arial" w:cs="Arial"/>
          <w:color w:val="222222"/>
          <w:sz w:val="22"/>
          <w:szCs w:val="22"/>
          <w:shd w:val="clear" w:color="auto" w:fill="FFFFFF"/>
        </w:rPr>
        <w:t> </w:t>
      </w:r>
      <w:r w:rsidRPr="2030048C">
        <w:rPr>
          <w:rFonts w:ascii="Arial" w:eastAsia="Arial" w:hAnsi="Arial" w:cs="Arial"/>
          <w:color w:val="222222"/>
          <w:sz w:val="22"/>
          <w:szCs w:val="22"/>
          <w:shd w:val="clear" w:color="auto" w:fill="FFFFFF"/>
        </w:rPr>
        <w:t>learning) and provides opportunities for students to identify their strengths and weaknesses, and focus on areas they need to work on and improve.</w:t>
      </w:r>
      <w:r w:rsidRPr="2030048C">
        <w:rPr>
          <w:rFonts w:ascii="Arial" w:eastAsia="Arial" w:hAnsi="Arial" w:cs="Arial"/>
          <w:color w:val="222222"/>
          <w:sz w:val="22"/>
          <w:szCs w:val="22"/>
          <w:shd w:val="clear" w:color="auto" w:fill="FFFFFF"/>
        </w:rPr>
        <w:t> </w:t>
      </w:r>
      <w:r w:rsidRPr="2030048C">
        <w:rPr>
          <w:rFonts w:ascii="Arial" w:eastAsia="Arial" w:hAnsi="Arial" w:cs="Arial"/>
          <w:color w:val="222222"/>
          <w:sz w:val="22"/>
          <w:szCs w:val="22"/>
          <w:shd w:val="clear" w:color="auto" w:fill="FFFFFF"/>
        </w:rPr>
        <w:t xml:space="preserve"> The work is marked and feedback given, but the mark does not count towards the module grade awarded.</w:t>
      </w:r>
      <w:r w:rsidRPr="2030048C">
        <w:rPr>
          <w:rFonts w:ascii="Arial" w:eastAsia="Arial" w:hAnsi="Arial" w:cs="Arial"/>
          <w:color w:val="222222"/>
          <w:sz w:val="22"/>
          <w:szCs w:val="22"/>
          <w:shd w:val="clear" w:color="auto" w:fill="FFFFFF"/>
        </w:rPr>
        <w:t> </w:t>
      </w:r>
      <w:r w:rsidRPr="2030048C">
        <w:rPr>
          <w:rFonts w:ascii="Arial" w:eastAsia="Arial" w:hAnsi="Arial" w:cs="Arial"/>
          <w:color w:val="222222"/>
          <w:sz w:val="22"/>
          <w:szCs w:val="22"/>
          <w:shd w:val="clear" w:color="auto" w:fill="FFFFFF"/>
        </w:rPr>
        <w:t xml:space="preserve"> The assessment strategy and criteria are clearly described in every written brief and mapped appropriately to the module learning outcomes.</w:t>
      </w:r>
      <w:r w:rsidRPr="2030048C">
        <w:rPr>
          <w:rFonts w:ascii="Arial" w:eastAsia="Arial" w:hAnsi="Arial" w:cs="Arial"/>
          <w:color w:val="222222"/>
          <w:sz w:val="22"/>
          <w:szCs w:val="22"/>
          <w:shd w:val="clear" w:color="auto" w:fill="FFFFFF"/>
        </w:rPr>
        <w:t> </w:t>
      </w:r>
      <w:r w:rsidRPr="2030048C">
        <w:rPr>
          <w:rFonts w:ascii="Arial" w:eastAsia="Arial" w:hAnsi="Arial" w:cs="Arial"/>
          <w:color w:val="222222"/>
          <w:sz w:val="22"/>
          <w:szCs w:val="22"/>
          <w:shd w:val="clear" w:color="auto" w:fill="FFFFFF"/>
        </w:rPr>
        <w:t xml:space="preserve"> The assessment criteria are generally additionally communicated verbally at each project briefing.</w:t>
      </w:r>
      <w:r w:rsidRPr="2030048C">
        <w:rPr>
          <w:rFonts w:ascii="Arial" w:eastAsia="Arial" w:hAnsi="Arial" w:cs="Arial"/>
          <w:color w:val="222222"/>
          <w:sz w:val="22"/>
          <w:szCs w:val="22"/>
          <w:shd w:val="clear" w:color="auto" w:fill="FFFFFF"/>
        </w:rPr>
        <w:t xml:space="preserve"> </w:t>
      </w:r>
    </w:p>
    <w:p w:rsidRPr="2030048C" w:rsidP="2030048C">
      <w:pPr>
        <w:pStyle w:val="p"/>
        <w:spacing w:before="0" w:after="0"/>
        <w:ind w:left="360" w:right="0"/>
        <w:jc w:val="both"/>
        <w:rPr>
          <w:rFonts w:ascii="Arial" w:eastAsia="Arial" w:hAnsi="Arial" w:cs="Arial"/>
          <w:i/>
          <w:iCs/>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shd w:val="clear" w:color="auto" w:fill="FFFFFF"/>
        </w:rPr>
        <w:t>Modes of Assessment include</w:t>
      </w:r>
      <w:r w:rsidRPr="2030048C">
        <w:rPr>
          <w:rFonts w:ascii="Arial" w:eastAsia="Arial" w:hAnsi="Arial" w:cs="Arial"/>
          <w:sz w:val="22"/>
          <w:szCs w:val="22"/>
          <w:shd w:val="clear" w:color="auto" w:fill="FFFFFF"/>
        </w:rPr>
        <w:t>:</w:t>
      </w:r>
    </w:p>
    <w:p w:rsidRPr="2030048C" w:rsidP="2030048C">
      <w:pPr>
        <w:pStyle w:val="p"/>
        <w:spacing w:before="0" w:after="0"/>
        <w:ind w:left="360" w:right="0"/>
        <w:jc w:val="both"/>
        <w:rPr>
          <w:rFonts w:ascii="Arial" w:eastAsia="Arial" w:hAnsi="Arial" w:cs="Arial"/>
          <w:i/>
          <w:iCs/>
          <w:sz w:val="22"/>
          <w:szCs w:val="22"/>
        </w:rPr>
      </w:pPr>
    </w:p>
    <w:p w:rsidRPr="2030048C" w:rsidP="2030048C">
      <w:pPr>
        <w:pStyle w:val="ListParagraph0"/>
        <w:numPr>
          <w:ilvl w:val="0"/>
          <w:numId w:val="35"/>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b/>
          <w:bCs/>
          <w:sz w:val="20"/>
          <w:szCs w:val="20"/>
        </w:rPr>
        <w:t>Reflective Log</w:t>
      </w:r>
      <w:r w:rsidRPr="2030048C">
        <w:rPr>
          <w:rFonts w:ascii="Tahoma" w:eastAsia="Tahoma" w:hAnsi="Tahoma" w:cs="Tahoma"/>
          <w:b/>
          <w:bCs/>
          <w:color w:val="FF0000"/>
          <w:sz w:val="20"/>
          <w:szCs w:val="20"/>
        </w:rPr>
        <w:t xml:space="preserve"> </w:t>
      </w:r>
      <w:r w:rsidRPr="2030048C">
        <w:rPr>
          <w:rFonts w:ascii="Arial" w:eastAsia="Arial" w:hAnsi="Arial" w:cs="Arial"/>
          <w:sz w:val="22"/>
          <w:szCs w:val="22"/>
        </w:rPr>
        <w:t>is a</w:t>
      </w:r>
      <w:r w:rsidRPr="2030048C">
        <w:rPr>
          <w:rFonts w:ascii="Arial" w:eastAsia="Arial" w:hAnsi="Arial" w:cs="Arial"/>
          <w:sz w:val="22"/>
          <w:szCs w:val="22"/>
          <w:shd w:val="clear" w:color="auto" w:fill="FFFFFF"/>
        </w:rPr>
        <w:t xml:space="preserve"> thoughtful consideration of an experience, situation, or topic, both positive and negative, which results in an outcome of a changed perspective. Reflective thinking and recording </w:t>
      </w:r>
      <w:r w:rsidRPr="2030048C">
        <w:rPr>
          <w:rFonts w:ascii="Arial" w:eastAsia="Arial" w:hAnsi="Arial" w:cs="Arial"/>
          <w:sz w:val="22"/>
          <w:szCs w:val="22"/>
          <w:shd w:val="clear" w:color="auto" w:fill="FFFFFF"/>
        </w:rPr>
        <w:t xml:space="preserve">it, can improve the quality of </w:t>
      </w:r>
      <w:r w:rsidRPr="2030048C">
        <w:rPr>
          <w:rFonts w:ascii="Arial" w:eastAsia="Arial" w:hAnsi="Arial" w:cs="Arial"/>
          <w:sz w:val="22"/>
          <w:szCs w:val="22"/>
          <w:shd w:val="clear" w:color="auto" w:fill="FFFFFF"/>
        </w:rPr>
        <w:t xml:space="preserve">design practice. </w:t>
      </w:r>
    </w:p>
    <w:p w:rsidRPr="2030048C" w:rsidP="2030048C">
      <w:pPr>
        <w:pStyle w:val="ListParagraph0"/>
        <w:spacing w:before="0" w:after="0"/>
        <w:ind w:left="720" w:right="0"/>
        <w:jc w:val="both"/>
        <w:rPr>
          <w:rFonts w:ascii="Cambria" w:eastAsia="Cambria" w:hAnsi="Cambria" w:cs="Cambria"/>
          <w:sz w:val="22"/>
          <w:szCs w:val="22"/>
        </w:rPr>
      </w:pPr>
      <w:r w:rsidRPr="2030048C">
        <w:rPr>
          <w:rFonts w:ascii="Arial" w:eastAsia="Arial" w:hAnsi="Arial" w:cs="Arial"/>
          <w:sz w:val="22"/>
          <w:szCs w:val="22"/>
          <w:shd w:val="clear" w:color="auto" w:fill="FFFFFF"/>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rsidRPr="2030048C" w:rsidP="2030048C">
      <w:pPr>
        <w:pStyle w:val="ListParagraph0"/>
        <w:spacing w:before="0" w:after="0"/>
        <w:ind w:left="720" w:right="0"/>
        <w:jc w:val="both"/>
        <w:rPr>
          <w:rFonts w:ascii="Arial" w:eastAsia="Arial" w:hAnsi="Arial" w:cs="Arial"/>
          <w:sz w:val="22"/>
          <w:szCs w:val="22"/>
        </w:rPr>
      </w:pPr>
    </w:p>
    <w:p w:rsidRPr="2030048C" w:rsidP="2030048C">
      <w:pPr>
        <w:pStyle w:val="ListParagraph0"/>
        <w:spacing w:before="0" w:after="0"/>
        <w:ind w:left="720" w:right="0"/>
        <w:jc w:val="both"/>
        <w:rPr>
          <w:rFonts w:ascii="Cambria" w:eastAsia="Cambria" w:hAnsi="Cambria" w:cs="Cambria"/>
          <w:sz w:val="22"/>
          <w:szCs w:val="22"/>
        </w:rPr>
      </w:pPr>
      <w:r w:rsidRPr="2030048C">
        <w:rPr>
          <w:rFonts w:ascii="Arial" w:eastAsia="Arial" w:hAnsi="Arial" w:cs="Arial"/>
          <w:b/>
          <w:bCs/>
          <w:sz w:val="20"/>
          <w:szCs w:val="20"/>
        </w:rPr>
        <w:t>Research Paper</w:t>
      </w:r>
      <w:r w:rsidRPr="2030048C">
        <w:rPr>
          <w:rFonts w:ascii="Tahoma" w:eastAsia="Tahoma" w:hAnsi="Tahoma" w:cs="Tahoma"/>
          <w:b/>
          <w:bCs/>
          <w:color w:val="FF0000"/>
          <w:sz w:val="20"/>
          <w:szCs w:val="20"/>
        </w:rPr>
        <w:t xml:space="preserve"> </w:t>
      </w:r>
      <w:r w:rsidRPr="2030048C">
        <w:rPr>
          <w:rFonts w:ascii="Arial" w:eastAsia="Arial" w:hAnsi="Arial" w:cs="Arial"/>
          <w:sz w:val="22"/>
          <w:szCs w:val="22"/>
          <w:shd w:val="clear" w:color="auto" w:fill="FFFFFF"/>
        </w:rPr>
        <w:t>A research paper is an expanded</w:t>
      </w:r>
      <w:r w:rsidRPr="2030048C">
        <w:rPr>
          <w:rFonts w:ascii="Arial" w:eastAsia="Arial" w:hAnsi="Arial" w:cs="Arial"/>
          <w:sz w:val="22"/>
          <w:szCs w:val="22"/>
          <w:shd w:val="clear" w:color="auto" w:fill="FFFFFF"/>
        </w:rPr>
        <w:t> </w:t>
      </w:r>
      <w:hyperlink r:id="rId11" w:history="1">
        <w:r w:rsidRPr="2030048C">
          <w:rPr>
            <w:rStyle w:val="Hyperlink0"/>
            <w:rFonts w:ascii="Arial" w:eastAsia="Arial" w:hAnsi="Arial" w:cs="Arial"/>
            <w:color w:val="000000"/>
            <w:sz w:val="22"/>
            <w:szCs w:val="22"/>
            <w:u w:val="single" w:color="000000"/>
            <w:shd w:val="clear" w:color="auto" w:fill="FFFFFF"/>
          </w:rPr>
          <w:t>essay</w:t>
        </w:r>
      </w:hyperlink>
      <w:r w:rsidRPr="2030048C">
        <w:rPr>
          <w:rFonts w:ascii="Arial" w:eastAsia="Arial" w:hAnsi="Arial" w:cs="Arial"/>
          <w:sz w:val="22"/>
          <w:szCs w:val="22"/>
          <w:shd w:val="clear" w:color="auto" w:fill="FFFFFF"/>
        </w:rPr>
        <w:t> </w:t>
      </w:r>
      <w:r w:rsidRPr="2030048C">
        <w:rPr>
          <w:rFonts w:ascii="Arial" w:eastAsia="Arial" w:hAnsi="Arial" w:cs="Arial"/>
          <w:sz w:val="22"/>
          <w:szCs w:val="22"/>
          <w:shd w:val="clear" w:color="auto" w:fill="FFFFFF"/>
        </w:rPr>
        <w:t xml:space="preserve">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rsidRPr="2030048C" w:rsidP="2030048C">
      <w:pPr>
        <w:pStyle w:val="ListParagraph0"/>
        <w:spacing w:before="0" w:after="0"/>
        <w:ind w:left="720" w:right="0"/>
        <w:jc w:val="both"/>
        <w:rPr>
          <w:rFonts w:ascii="Arial" w:eastAsia="Arial" w:hAnsi="Arial" w:cs="Arial"/>
          <w:sz w:val="22"/>
          <w:szCs w:val="22"/>
        </w:rPr>
      </w:pPr>
    </w:p>
    <w:p w:rsidRPr="2030048C" w:rsidP="2030048C">
      <w:pPr>
        <w:pStyle w:val="ListParagraph0"/>
        <w:numPr>
          <w:ilvl w:val="0"/>
          <w:numId w:val="36"/>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b/>
          <w:bCs/>
          <w:sz w:val="22"/>
          <w:szCs w:val="22"/>
        </w:rPr>
        <w:t>Project Outcomes</w:t>
      </w:r>
      <w:r w:rsidRPr="2030048C">
        <w:rPr>
          <w:rFonts w:ascii="Tahoma" w:eastAsia="Tahoma" w:hAnsi="Tahoma" w:cs="Tahoma"/>
          <w:b/>
          <w:bCs/>
          <w:sz w:val="20"/>
          <w:szCs w:val="20"/>
        </w:rPr>
        <w:t xml:space="preserve"> </w:t>
      </w:r>
      <w:r w:rsidRPr="2030048C">
        <w:rPr>
          <w:rFonts w:ascii="Arial" w:eastAsia="Arial" w:hAnsi="Arial" w:cs="Arial"/>
          <w:sz w:val="22"/>
          <w:szCs w:val="22"/>
        </w:rPr>
        <w:t>are the realization of the course works, defined in the project</w:t>
      </w:r>
      <w:r w:rsidRPr="2030048C">
        <w:rPr>
          <w:rFonts w:ascii="Arial" w:eastAsia="Arial" w:hAnsi="Arial" w:cs="Arial"/>
          <w:sz w:val="22"/>
          <w:szCs w:val="22"/>
        </w:rPr>
        <w:t xml:space="preserve">   </w:t>
      </w:r>
      <w:r w:rsidRPr="2030048C">
        <w:rPr>
          <w:rFonts w:ascii="Arial" w:eastAsia="Arial" w:hAnsi="Arial" w:cs="Arial"/>
          <w:sz w:val="22"/>
          <w:szCs w:val="22"/>
        </w:rPr>
        <w:t xml:space="preserve">         </w:t>
      </w:r>
      <w:r w:rsidRPr="2030048C">
        <w:rPr>
          <w:rFonts w:ascii="Arial" w:eastAsia="Arial" w:hAnsi="Arial" w:cs="Arial"/>
          <w:sz w:val="22"/>
          <w:szCs w:val="22"/>
        </w:rPr>
        <w:t>briefs. Students engage with practical design briefs</w:t>
      </w:r>
      <w:r w:rsidRPr="2030048C">
        <w:rPr>
          <w:rFonts w:ascii="Arial" w:eastAsia="Arial" w:hAnsi="Arial" w:cs="Arial"/>
          <w:b/>
          <w:bCs/>
          <w:sz w:val="22"/>
          <w:szCs w:val="22"/>
        </w:rPr>
        <w:t>, r</w:t>
      </w:r>
      <w:r w:rsidRPr="2030048C">
        <w:rPr>
          <w:rFonts w:ascii="Arial" w:eastAsia="Arial" w:hAnsi="Arial" w:cs="Arial"/>
          <w:sz w:val="22"/>
          <w:szCs w:val="22"/>
        </w:rPr>
        <w:t xml:space="preserve">esearch and design development work, and making various presentations and </w:t>
      </w:r>
      <w:r w:rsidRPr="2030048C">
        <w:rPr>
          <w:rFonts w:ascii="Arial" w:eastAsia="Arial" w:hAnsi="Arial" w:cs="Arial"/>
          <w:sz w:val="22"/>
          <w:szCs w:val="22"/>
        </w:rPr>
        <w:t>portfolios, which</w:t>
      </w:r>
      <w:r w:rsidRPr="2030048C">
        <w:rPr>
          <w:rFonts w:ascii="Arial" w:eastAsia="Arial" w:hAnsi="Arial" w:cs="Arial"/>
          <w:sz w:val="22"/>
          <w:szCs w:val="22"/>
        </w:rPr>
        <w:t xml:space="preserve"> demonstrate development and improvement. These</w:t>
      </w:r>
      <w:r w:rsidRPr="2030048C">
        <w:rPr>
          <w:rFonts w:ascii="Arial" w:eastAsia="Arial" w:hAnsi="Arial" w:cs="Arial"/>
          <w:sz w:val="22"/>
          <w:szCs w:val="22"/>
        </w:rPr>
        <w:t xml:space="preserve">   </w:t>
      </w:r>
      <w:r w:rsidRPr="2030048C">
        <w:rPr>
          <w:rFonts w:ascii="Arial" w:eastAsia="Arial" w:hAnsi="Arial" w:cs="Arial"/>
          <w:sz w:val="22"/>
          <w:szCs w:val="22"/>
        </w:rPr>
        <w:t xml:space="preserve">are formatively assessed with feedback and feed forward provided in crits and in project reviews throughout the module. </w:t>
      </w:r>
    </w:p>
    <w:p w:rsidRPr="2030048C" w:rsidP="2030048C">
      <w:pPr>
        <w:pStyle w:val="ListParagraph0"/>
        <w:spacing w:before="0" w:after="0"/>
        <w:ind w:left="720" w:right="0"/>
        <w:jc w:val="both"/>
        <w:rPr>
          <w:rFonts w:ascii="Cambria" w:eastAsia="Cambria" w:hAnsi="Cambria" w:cs="Cambria"/>
          <w:sz w:val="22"/>
          <w:szCs w:val="22"/>
        </w:rPr>
      </w:pPr>
      <w:r w:rsidRPr="2030048C">
        <w:rPr>
          <w:rFonts w:ascii="Arial" w:eastAsia="Arial" w:hAnsi="Arial" w:cs="Arial"/>
          <w:sz w:val="22"/>
          <w:szCs w:val="22"/>
        </w:rPr>
        <w:t xml:space="preserve">Project work is submitted and </w:t>
      </w:r>
      <w:r w:rsidRPr="2030048C">
        <w:rPr>
          <w:rFonts w:ascii="Arial" w:eastAsia="Arial" w:hAnsi="Arial" w:cs="Arial"/>
          <w:sz w:val="22"/>
          <w:szCs w:val="22"/>
        </w:rPr>
        <w:t>summatively</w:t>
      </w:r>
      <w:r w:rsidRPr="2030048C">
        <w:rPr>
          <w:rFonts w:ascii="Arial" w:eastAsia="Arial" w:hAnsi="Arial" w:cs="Arial"/>
          <w:sz w:val="22"/>
          <w:szCs w:val="22"/>
        </w:rPr>
        <w:t xml:space="preserve"> assessed at the end of the module.</w:t>
      </w:r>
      <w:r w:rsidRPr="2030048C">
        <w:rPr>
          <w:rFonts w:ascii="Arial" w:eastAsia="Arial" w:hAnsi="Arial" w:cs="Arial"/>
          <w:sz w:val="22"/>
          <w:szCs w:val="22"/>
        </w:rPr>
        <w:t xml:space="preserve"> </w:t>
      </w:r>
    </w:p>
    <w:p w:rsidRPr="2030048C" w:rsidP="2030048C">
      <w:pPr>
        <w:pStyle w:val="ListParagraph0"/>
        <w:spacing w:before="0" w:after="0"/>
        <w:ind w:left="720" w:right="0"/>
        <w:jc w:val="both"/>
        <w:rPr>
          <w:rFonts w:ascii="Arial" w:eastAsia="Arial" w:hAnsi="Arial" w:cs="Arial"/>
          <w:sz w:val="22"/>
          <w:szCs w:val="22"/>
        </w:rPr>
      </w:pPr>
    </w:p>
    <w:p w:rsidRPr="2030048C" w:rsidP="2030048C">
      <w:pPr>
        <w:pStyle w:val="ListParagraph0"/>
        <w:widowControl w:val="0"/>
        <w:numPr>
          <w:ilvl w:val="0"/>
          <w:numId w:val="37"/>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b/>
          <w:bCs/>
          <w:sz w:val="22"/>
          <w:szCs w:val="22"/>
        </w:rPr>
        <w:t xml:space="preserve">Major Design </w:t>
      </w:r>
      <w:r w:rsidRPr="2030048C">
        <w:rPr>
          <w:rFonts w:ascii="Arial" w:eastAsia="Arial" w:hAnsi="Arial" w:cs="Arial"/>
          <w:b/>
          <w:bCs/>
          <w:sz w:val="22"/>
          <w:szCs w:val="22"/>
        </w:rPr>
        <w:t xml:space="preserve">Project </w:t>
      </w:r>
      <w:r w:rsidRPr="2030048C">
        <w:rPr>
          <w:rFonts w:ascii="Arial" w:eastAsia="Arial" w:hAnsi="Arial" w:cs="Arial"/>
          <w:sz w:val="22"/>
          <w:szCs w:val="22"/>
        </w:rPr>
        <w:t>–</w:t>
      </w:r>
      <w:r w:rsidRPr="2030048C">
        <w:rPr>
          <w:rFonts w:ascii="Arial" w:eastAsia="Arial" w:hAnsi="Arial" w:cs="Arial"/>
          <w:sz w:val="22"/>
          <w:szCs w:val="22"/>
        </w:rPr>
        <w:t xml:space="preserve"> </w:t>
      </w:r>
      <w:r w:rsidRPr="2030048C">
        <w:rPr>
          <w:rFonts w:ascii="Arial" w:eastAsia="Arial" w:hAnsi="Arial" w:cs="Arial"/>
          <w:sz w:val="22"/>
          <w:szCs w:val="22"/>
        </w:rPr>
        <w:t xml:space="preserve">The </w:t>
      </w:r>
      <w:r w:rsidRPr="2030048C">
        <w:rPr>
          <w:rFonts w:ascii="Arial" w:eastAsia="Arial" w:hAnsi="Arial" w:cs="Arial"/>
          <w:sz w:val="22"/>
          <w:szCs w:val="22"/>
        </w:rPr>
        <w:t xml:space="preserve">self-initiated </w:t>
      </w:r>
      <w:r w:rsidRPr="2030048C">
        <w:rPr>
          <w:rFonts w:ascii="Arial" w:eastAsia="Arial" w:hAnsi="Arial" w:cs="Arial"/>
          <w:sz w:val="22"/>
          <w:szCs w:val="22"/>
        </w:rPr>
        <w:t xml:space="preserve">project </w:t>
      </w:r>
      <w:r w:rsidRPr="2030048C">
        <w:rPr>
          <w:rFonts w:ascii="Arial" w:eastAsia="Arial" w:hAnsi="Arial" w:cs="Arial"/>
          <w:sz w:val="22"/>
          <w:szCs w:val="22"/>
        </w:rPr>
        <w:t xml:space="preserve">is designed to be a culminating educational experience for students. It aims to summarise and synthesise all or part of a student’s academic career at university. </w:t>
      </w:r>
      <w:r w:rsidRPr="2030048C">
        <w:rPr>
          <w:rFonts w:ascii="Arial" w:eastAsia="Arial" w:hAnsi="Arial" w:cs="Arial"/>
          <w:sz w:val="22"/>
          <w:szCs w:val="22"/>
        </w:rPr>
        <w:t xml:space="preserve">Major </w:t>
      </w:r>
      <w:r w:rsidRPr="2030048C">
        <w:rPr>
          <w:rFonts w:ascii="Arial" w:eastAsia="Arial" w:hAnsi="Arial" w:cs="Arial"/>
          <w:sz w:val="22"/>
          <w:szCs w:val="22"/>
        </w:rPr>
        <w:t>design project</w:t>
      </w:r>
      <w:r w:rsidRPr="2030048C">
        <w:rPr>
          <w:rFonts w:ascii="Arial" w:eastAsia="Arial" w:hAnsi="Arial" w:cs="Arial"/>
          <w:sz w:val="22"/>
          <w:szCs w:val="22"/>
        </w:rPr>
        <w:t xml:space="preserve"> help</w:t>
      </w:r>
      <w:r w:rsidRPr="2030048C">
        <w:rPr>
          <w:rFonts w:ascii="Arial" w:eastAsia="Arial" w:hAnsi="Arial" w:cs="Arial"/>
          <w:sz w:val="22"/>
          <w:szCs w:val="22"/>
        </w:rPr>
        <w:t>s</w:t>
      </w:r>
      <w:r w:rsidRPr="2030048C">
        <w:rPr>
          <w:rFonts w:ascii="Arial" w:eastAsia="Arial" w:hAnsi="Arial" w:cs="Arial"/>
          <w:sz w:val="22"/>
          <w:szCs w:val="22"/>
        </w:rPr>
        <w:t xml:space="preserve"> students to reflect on the knowledge and skills that they have acquired during their degree and learn how to present them to a wider audience including future employers</w:t>
      </w:r>
      <w:r w:rsidRPr="2030048C">
        <w:rPr>
          <w:rFonts w:ascii="Arial" w:eastAsia="Arial" w:hAnsi="Arial" w:cs="Arial"/>
          <w:sz w:val="22"/>
          <w:szCs w:val="22"/>
        </w:rPr>
        <w:t>.</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ListParagraph0"/>
        <w:spacing w:before="0" w:after="0"/>
        <w:ind w:left="360" w:right="0"/>
        <w:jc w:val="both"/>
        <w:rPr>
          <w:rFonts w:ascii="Arial" w:eastAsia="Arial" w:hAnsi="Arial" w:cs="Arial"/>
          <w:b/>
          <w:bCs/>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rPr>
        <w:t>The Personal Tutor Scheme</w:t>
      </w:r>
    </w:p>
    <w:p w:rsidRPr="2030048C" w:rsidP="2030048C">
      <w:pPr>
        <w:pStyle w:val="p"/>
        <w:widowControl w:val="0"/>
        <w:spacing w:before="0" w:after="0"/>
        <w:ind w:left="0" w:right="0"/>
        <w:jc w:val="both"/>
        <w:rPr>
          <w:rFonts w:ascii="Arial" w:eastAsia="Arial" w:hAnsi="Arial" w:cs="Arial"/>
          <w:b/>
          <w:bCs/>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Aims of the Institute’s Personal Tutor Scheme:</w:t>
      </w:r>
    </w:p>
    <w:p w:rsidRPr="2030048C" w:rsidP="2030048C">
      <w:pPr>
        <w:pStyle w:val="li"/>
        <w:widowControl w:val="0"/>
        <w:numPr>
          <w:ilvl w:val="0"/>
          <w:numId w:val="38"/>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To provide appropriate academic advice and guidance throughout a student’s studies by monitoring progress and identifying individual needs.</w:t>
      </w:r>
    </w:p>
    <w:p w:rsidRPr="2030048C" w:rsidP="2030048C">
      <w:pPr>
        <w:pStyle w:val="li"/>
        <w:widowControl w:val="0"/>
        <w:numPr>
          <w:ilvl w:val="0"/>
          <w:numId w:val="38"/>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To provide a holistic overview and guidance for individual study and the development of personal practice.</w:t>
      </w:r>
    </w:p>
    <w:p w:rsidRPr="2030048C" w:rsidP="2030048C">
      <w:pPr>
        <w:pStyle w:val="li"/>
        <w:widowControl w:val="0"/>
        <w:numPr>
          <w:ilvl w:val="0"/>
          <w:numId w:val="38"/>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To provide a formalised structure for the </w:t>
      </w:r>
      <w:r w:rsidRPr="2030048C">
        <w:rPr>
          <w:rFonts w:ascii="Arial" w:eastAsia="Arial" w:hAnsi="Arial" w:cs="Arial"/>
          <w:sz w:val="22"/>
          <w:szCs w:val="22"/>
        </w:rPr>
        <w:t>on-going</w:t>
      </w:r>
      <w:r w:rsidRPr="2030048C">
        <w:rPr>
          <w:rFonts w:ascii="Arial" w:eastAsia="Arial" w:hAnsi="Arial" w:cs="Arial"/>
          <w:sz w:val="22"/>
          <w:szCs w:val="22"/>
        </w:rPr>
        <w:t xml:space="preserve"> process of formative feedback and personal development embedded in studio culture and teaching.</w:t>
      </w:r>
    </w:p>
    <w:p w:rsidRPr="2030048C" w:rsidP="2030048C">
      <w:pPr>
        <w:pStyle w:val="li"/>
        <w:widowControl w:val="0"/>
        <w:numPr>
          <w:ilvl w:val="0"/>
          <w:numId w:val="38"/>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To help to develop a student’s ability to be self-reliant and reflective and their ability to use feedback/feed forward to best advantage.</w:t>
      </w:r>
    </w:p>
    <w:p w:rsidRPr="2030048C" w:rsidP="2030048C">
      <w:pPr>
        <w:pStyle w:val="p"/>
        <w:widowControl w:val="0"/>
        <w:spacing w:before="0" w:after="0"/>
        <w:ind w:left="72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Key Features of the Institute’s Personal Tutor scheme: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
        <w:widowControl w:val="0"/>
        <w:numPr>
          <w:ilvl w:val="0"/>
          <w:numId w:val="3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Personal Tutors will be allocated at the beginning of the academic year.</w:t>
      </w:r>
    </w:p>
    <w:p w:rsidRPr="2030048C" w:rsidP="2030048C">
      <w:pPr>
        <w:pStyle w:val="li"/>
        <w:widowControl w:val="0"/>
        <w:numPr>
          <w:ilvl w:val="0"/>
          <w:numId w:val="3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The introductory/welcome tutorial meeting will occur at the beginning of the academic year. Subsequent tutorials will follow and respond to key/stages in the academic year.</w:t>
      </w:r>
    </w:p>
    <w:p w:rsidRPr="2030048C" w:rsidP="2030048C">
      <w:pPr>
        <w:pStyle w:val="li"/>
        <w:widowControl w:val="0"/>
        <w:numPr>
          <w:ilvl w:val="0"/>
          <w:numId w:val="3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Students will keep the same person</w:t>
      </w:r>
      <w:r w:rsidRPr="2030048C">
        <w:rPr>
          <w:rFonts w:ascii="Arial" w:eastAsia="Arial" w:hAnsi="Arial" w:cs="Arial"/>
          <w:sz w:val="22"/>
          <w:szCs w:val="22"/>
        </w:rPr>
        <w:t>al tutor throughout each year: L</w:t>
      </w:r>
      <w:r w:rsidRPr="2030048C">
        <w:rPr>
          <w:rFonts w:ascii="Arial" w:eastAsia="Arial" w:hAnsi="Arial" w:cs="Arial"/>
          <w:sz w:val="22"/>
          <w:szCs w:val="22"/>
        </w:rPr>
        <w:t>evel 4,</w:t>
      </w:r>
      <w:r w:rsidRPr="2030048C">
        <w:rPr>
          <w:rFonts w:ascii="Arial" w:eastAsia="Arial" w:hAnsi="Arial" w:cs="Arial"/>
          <w:sz w:val="22"/>
          <w:szCs w:val="22"/>
        </w:rPr>
        <w:t xml:space="preserve"> </w:t>
      </w:r>
      <w:r w:rsidRPr="2030048C">
        <w:rPr>
          <w:rFonts w:ascii="Arial" w:eastAsia="Arial" w:hAnsi="Arial" w:cs="Arial"/>
          <w:sz w:val="22"/>
          <w:szCs w:val="22"/>
        </w:rPr>
        <w:t>5,</w:t>
      </w:r>
      <w:r w:rsidRPr="2030048C">
        <w:rPr>
          <w:rFonts w:ascii="Arial" w:eastAsia="Arial" w:hAnsi="Arial" w:cs="Arial"/>
          <w:sz w:val="22"/>
          <w:szCs w:val="22"/>
        </w:rPr>
        <w:t xml:space="preserve"> </w:t>
      </w:r>
      <w:r w:rsidRPr="2030048C">
        <w:rPr>
          <w:rFonts w:ascii="Arial" w:eastAsia="Arial" w:hAnsi="Arial" w:cs="Arial"/>
          <w:sz w:val="22"/>
          <w:szCs w:val="22"/>
        </w:rPr>
        <w:t>6.</w:t>
      </w:r>
    </w:p>
    <w:p w:rsidRPr="2030048C" w:rsidP="2030048C">
      <w:pPr>
        <w:pStyle w:val="li"/>
        <w:widowControl w:val="0"/>
        <w:numPr>
          <w:ilvl w:val="0"/>
          <w:numId w:val="3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One-to-one meetings will vary in length depending on the profile and needs of individual students.</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Level 4:</w:t>
      </w:r>
    </w:p>
    <w:p w:rsidRPr="2030048C" w:rsidP="2030048C">
      <w:pPr>
        <w:pStyle w:val="li"/>
        <w:widowControl w:val="0"/>
        <w:numPr>
          <w:ilvl w:val="0"/>
          <w:numId w:val="40"/>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Teaching block 1: minimum of </w:t>
      </w:r>
      <w:r w:rsidRPr="2030048C">
        <w:rPr>
          <w:rFonts w:ascii="Arial" w:eastAsia="Arial" w:hAnsi="Arial" w:cs="Arial"/>
          <w:sz w:val="22"/>
          <w:szCs w:val="22"/>
        </w:rPr>
        <w:t>3</w:t>
      </w:r>
      <w:r w:rsidRPr="2030048C">
        <w:rPr>
          <w:rFonts w:ascii="Arial" w:eastAsia="Arial" w:hAnsi="Arial" w:cs="Arial"/>
          <w:sz w:val="22"/>
          <w:szCs w:val="22"/>
        </w:rPr>
        <w:t xml:space="preserve"> 1:1 meetings</w:t>
      </w:r>
    </w:p>
    <w:p w:rsidRPr="2030048C" w:rsidP="2030048C">
      <w:pPr>
        <w:pStyle w:val="li"/>
        <w:widowControl w:val="0"/>
        <w:numPr>
          <w:ilvl w:val="0"/>
          <w:numId w:val="40"/>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Teaching block 2: minimum of </w:t>
      </w:r>
      <w:r w:rsidRPr="2030048C">
        <w:rPr>
          <w:rFonts w:ascii="Arial" w:eastAsia="Arial" w:hAnsi="Arial" w:cs="Arial"/>
          <w:sz w:val="22"/>
          <w:szCs w:val="22"/>
        </w:rPr>
        <w:t>2 f</w:t>
      </w:r>
      <w:r w:rsidRPr="2030048C">
        <w:rPr>
          <w:rFonts w:ascii="Arial" w:eastAsia="Arial" w:hAnsi="Arial" w:cs="Arial"/>
          <w:sz w:val="22"/>
          <w:szCs w:val="22"/>
        </w:rPr>
        <w:t>ace-to-face meetings (may be group or 1:1)</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Level 5:</w:t>
      </w:r>
    </w:p>
    <w:p w:rsidRPr="2030048C" w:rsidP="2030048C">
      <w:pPr>
        <w:pStyle w:val="li"/>
        <w:widowControl w:val="0"/>
        <w:numPr>
          <w:ilvl w:val="0"/>
          <w:numId w:val="41"/>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Welcome back and year planning meeting, 1:1</w:t>
      </w:r>
    </w:p>
    <w:p w:rsidRPr="2030048C" w:rsidP="2030048C">
      <w:pPr>
        <w:pStyle w:val="li"/>
        <w:widowControl w:val="0"/>
        <w:numPr>
          <w:ilvl w:val="0"/>
          <w:numId w:val="41"/>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End of teaching block 1: email contact or 1:1</w:t>
      </w:r>
    </w:p>
    <w:p w:rsidRPr="2030048C" w:rsidP="2030048C">
      <w:pPr>
        <w:pStyle w:val="li"/>
        <w:widowControl w:val="0"/>
        <w:numPr>
          <w:ilvl w:val="0"/>
          <w:numId w:val="41"/>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End of teaching block 2 email or 1:1</w:t>
      </w:r>
      <w:r w:rsidRPr="2030048C">
        <w:rPr>
          <w:rFonts w:ascii="Arial" w:eastAsia="Arial" w:hAnsi="Arial" w:cs="Arial"/>
          <w:sz w:val="22"/>
          <w:szCs w:val="22"/>
        </w:rPr>
        <w:t xml:space="preserve"> </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Level 6:</w:t>
      </w:r>
    </w:p>
    <w:p w:rsidRPr="2030048C" w:rsidP="2030048C">
      <w:pPr>
        <w:pStyle w:val="li"/>
        <w:widowControl w:val="0"/>
        <w:numPr>
          <w:ilvl w:val="0"/>
          <w:numId w:val="42"/>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Welcome back and year planning meeting, 1:1</w:t>
      </w:r>
    </w:p>
    <w:p w:rsidRPr="2030048C" w:rsidP="2030048C">
      <w:pPr>
        <w:pStyle w:val="li"/>
        <w:widowControl w:val="0"/>
        <w:numPr>
          <w:ilvl w:val="0"/>
          <w:numId w:val="42"/>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End of teaching block 1: email contact or 1:1 </w:t>
      </w:r>
    </w:p>
    <w:p w:rsidRPr="2030048C" w:rsidP="2030048C">
      <w:pPr>
        <w:pStyle w:val="li"/>
        <w:widowControl w:val="0"/>
        <w:numPr>
          <w:ilvl w:val="0"/>
          <w:numId w:val="42"/>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End of teaching block 2 email or 1:1 </w:t>
      </w:r>
    </w:p>
    <w:p w:rsidRPr="2030048C" w:rsidP="2030048C">
      <w:pPr>
        <w:pStyle w:val="p"/>
        <w:widowControl w:val="0"/>
        <w:spacing w:before="0" w:after="0"/>
        <w:ind w:left="36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Students are supported by:</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u w:val="single"/>
        </w:rPr>
        <w:t>Studio Structure</w:t>
      </w: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All </w:t>
      </w:r>
      <w:r w:rsidRPr="2030048C">
        <w:rPr>
          <w:rFonts w:ascii="Arial" w:eastAsia="Arial" w:hAnsi="Arial" w:cs="Arial"/>
          <w:sz w:val="22"/>
          <w:szCs w:val="22"/>
        </w:rPr>
        <w:t xml:space="preserve">courses within </w:t>
      </w:r>
      <w:r w:rsidRPr="2030048C">
        <w:rPr>
          <w:rFonts w:ascii="Arial" w:eastAsia="Arial" w:hAnsi="Arial" w:cs="Arial"/>
          <w:sz w:val="22"/>
          <w:szCs w:val="22"/>
        </w:rPr>
        <w:t>IIAD</w:t>
      </w:r>
      <w:r w:rsidRPr="2030048C">
        <w:rPr>
          <w:rFonts w:ascii="Arial" w:eastAsia="Arial" w:hAnsi="Arial" w:cs="Arial"/>
          <w:sz w:val="22"/>
          <w:szCs w:val="22"/>
        </w:rPr>
        <w:t xml:space="preserve"> place the studio at the heart of the learning support experience.</w:t>
      </w:r>
      <w:r w:rsidRPr="2030048C">
        <w:rPr>
          <w:rFonts w:ascii="Arial" w:eastAsia="Arial" w:hAnsi="Arial" w:cs="Arial"/>
          <w:sz w:val="22"/>
          <w:szCs w:val="22"/>
        </w:rPr>
        <w:t> </w:t>
      </w:r>
      <w:r w:rsidRPr="2030048C">
        <w:rPr>
          <w:rFonts w:ascii="Arial" w:eastAsia="Arial" w:hAnsi="Arial" w:cs="Arial"/>
          <w:sz w:val="22"/>
          <w:szCs w:val="22"/>
        </w:rPr>
        <w:t xml:space="preserv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w:t>
      </w:r>
      <w:r w:rsidRPr="2030048C">
        <w:rPr>
          <w:rFonts w:ascii="Arial" w:eastAsia="Arial" w:hAnsi="Arial" w:cs="Arial"/>
          <w:sz w:val="22"/>
          <w:szCs w:val="22"/>
        </w:rPr>
        <w:t> </w:t>
      </w:r>
      <w:r w:rsidRPr="2030048C">
        <w:rPr>
          <w:rFonts w:ascii="Arial" w:eastAsia="Arial" w:hAnsi="Arial" w:cs="Arial"/>
          <w:sz w:val="22"/>
          <w:szCs w:val="22"/>
        </w:rPr>
        <w:t xml:space="preserve"> A strategic </w:t>
      </w:r>
      <w:r w:rsidRPr="2030048C">
        <w:rPr>
          <w:rFonts w:ascii="Arial" w:eastAsia="Arial" w:hAnsi="Arial" w:cs="Arial"/>
          <w:sz w:val="22"/>
          <w:szCs w:val="22"/>
        </w:rPr>
        <w:t>programme</w:t>
      </w:r>
      <w:r w:rsidRPr="2030048C">
        <w:rPr>
          <w:rFonts w:ascii="Arial" w:eastAsia="Arial" w:hAnsi="Arial" w:cs="Arial"/>
          <w:sz w:val="22"/>
          <w:szCs w:val="22"/>
        </w:rPr>
        <w:t xml:space="preserve"> of lectures, seminars and workshops supports the studio learning experience.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u w:val="single"/>
        </w:rPr>
        <w:t>Workshop Structure</w:t>
      </w:r>
    </w:p>
    <w:p w:rsidRPr="2030048C" w:rsidP="2030048C">
      <w:pPr>
        <w:pStyle w:val="NormalWeb"/>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diverse range of workshop spaces provide an integral resource to support studio learning. </w:t>
      </w:r>
      <w:r w:rsidRPr="2030048C">
        <w:rPr>
          <w:rFonts w:ascii="Arial" w:eastAsia="Arial" w:hAnsi="Arial" w:cs="Arial"/>
          <w:sz w:val="22"/>
          <w:szCs w:val="22"/>
        </w:rPr>
        <w:t>They are in addition to the studio space and are</w:t>
      </w:r>
      <w:r w:rsidRPr="2030048C">
        <w:rPr>
          <w:rFonts w:ascii="Arial" w:eastAsia="Arial" w:hAnsi="Arial" w:cs="Arial"/>
          <w:sz w:val="22"/>
          <w:szCs w:val="22"/>
        </w:rPr>
        <w:t xml:space="preserve"> equipped with particular, speciali</w:t>
      </w:r>
      <w:r w:rsidRPr="2030048C">
        <w:rPr>
          <w:rFonts w:ascii="Arial" w:eastAsia="Arial" w:hAnsi="Arial" w:cs="Arial"/>
          <w:sz w:val="22"/>
          <w:szCs w:val="22"/>
        </w:rPr>
        <w:t xml:space="preserve">st </w:t>
      </w:r>
      <w:r w:rsidRPr="2030048C">
        <w:rPr>
          <w:rFonts w:ascii="Arial" w:eastAsia="Arial" w:hAnsi="Arial" w:cs="Arial"/>
          <w:sz w:val="22"/>
          <w:szCs w:val="22"/>
        </w:rPr>
        <w:t>f</w:t>
      </w:r>
      <w:r w:rsidRPr="2030048C">
        <w:rPr>
          <w:rFonts w:ascii="Arial" w:eastAsia="Arial" w:hAnsi="Arial" w:cs="Arial"/>
          <w:sz w:val="22"/>
          <w:szCs w:val="22"/>
        </w:rPr>
        <w:t>acilities</w:t>
      </w:r>
      <w:r w:rsidRPr="2030048C">
        <w:rPr>
          <w:rFonts w:ascii="Arial" w:eastAsia="Arial" w:hAnsi="Arial" w:cs="Arial"/>
          <w:sz w:val="22"/>
          <w:szCs w:val="22"/>
        </w:rPr>
        <w:t>/ technical sup</w:t>
      </w:r>
      <w:r w:rsidRPr="2030048C">
        <w:rPr>
          <w:rFonts w:ascii="Arial" w:eastAsia="Arial" w:hAnsi="Arial" w:cs="Arial"/>
          <w:sz w:val="22"/>
          <w:szCs w:val="22"/>
        </w:rPr>
        <w:t>p</w:t>
      </w:r>
      <w:r w:rsidRPr="2030048C">
        <w:rPr>
          <w:rFonts w:ascii="Arial" w:eastAsia="Arial" w:hAnsi="Arial" w:cs="Arial"/>
          <w:sz w:val="22"/>
          <w:szCs w:val="22"/>
        </w:rPr>
        <w:t xml:space="preserve">ort </w:t>
      </w:r>
      <w:r w:rsidRPr="2030048C">
        <w:rPr>
          <w:rFonts w:ascii="Arial" w:eastAsia="Arial" w:hAnsi="Arial" w:cs="Arial"/>
          <w:sz w:val="22"/>
          <w:szCs w:val="22"/>
        </w:rPr>
        <w:t xml:space="preserve">for all </w:t>
      </w:r>
      <w:r w:rsidRPr="2030048C">
        <w:rPr>
          <w:rFonts w:ascii="Arial" w:eastAsia="Arial" w:hAnsi="Arial" w:cs="Arial"/>
          <w:sz w:val="22"/>
          <w:szCs w:val="22"/>
        </w:rPr>
        <w:t>programme</w:t>
      </w:r>
      <w:r w:rsidRPr="2030048C">
        <w:rPr>
          <w:rFonts w:ascii="Arial" w:eastAsia="Arial" w:hAnsi="Arial" w:cs="Arial"/>
          <w:sz w:val="22"/>
          <w:szCs w:val="22"/>
        </w:rPr>
        <w:t>s</w:t>
      </w:r>
      <w:r w:rsidRPr="2030048C">
        <w:rPr>
          <w:rFonts w:ascii="Arial" w:eastAsia="Arial" w:hAnsi="Arial" w:cs="Arial"/>
          <w:sz w:val="22"/>
          <w:szCs w:val="22"/>
        </w:rPr>
        <w:t xml:space="preserve">. </w:t>
      </w:r>
      <w:r w:rsidRPr="2030048C">
        <w:rPr>
          <w:rFonts w:ascii="Arial" w:eastAsia="Arial" w:hAnsi="Arial" w:cs="Arial"/>
          <w:sz w:val="22"/>
          <w:szCs w:val="22"/>
        </w:rPr>
        <w:t xml:space="preserve">Discipline specific workshops support the students material exploration and technical requirements. </w:t>
      </w:r>
    </w:p>
    <w:p w:rsidRPr="2030048C" w:rsidP="2030048C">
      <w:pPr>
        <w:pStyle w:val="NormalWeb"/>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u w:val="single"/>
        </w:rPr>
        <w:t>Staff Structure</w:t>
      </w:r>
      <w:r w:rsidRPr="2030048C">
        <w:rPr>
          <w:rFonts w:ascii="Arial" w:eastAsia="Arial" w:hAnsi="Arial" w:cs="Arial"/>
          <w:sz w:val="22"/>
          <w:szCs w:val="22"/>
        </w:rPr>
        <w:t> </w:t>
      </w: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staff support structure maps to the studio system.</w:t>
      </w:r>
      <w:r w:rsidRPr="2030048C">
        <w:rPr>
          <w:rFonts w:ascii="Arial" w:eastAsia="Arial" w:hAnsi="Arial" w:cs="Arial"/>
          <w:sz w:val="22"/>
          <w:szCs w:val="22"/>
        </w:rPr>
        <w:t> </w:t>
      </w:r>
      <w:r w:rsidRPr="2030048C">
        <w:rPr>
          <w:rFonts w:ascii="Arial" w:eastAsia="Arial" w:hAnsi="Arial" w:cs="Arial"/>
          <w:sz w:val="22"/>
          <w:szCs w:val="22"/>
        </w:rPr>
        <w:t xml:space="preserve"> Course leaders coordinate all levels and studios within a course. Undergraduate courses have individual level leaders who provide a consistent point of student contact. They are operational figureheads who work together with </w:t>
      </w:r>
      <w:r w:rsidRPr="2030048C">
        <w:rPr>
          <w:rFonts w:ascii="Arial" w:eastAsia="Arial" w:hAnsi="Arial" w:cs="Arial"/>
          <w:sz w:val="22"/>
          <w:szCs w:val="22"/>
        </w:rPr>
        <w:t xml:space="preserve">staff teams and adjunct faculty (incorporating Module Leaders) to deliver the appropriate learning </w:t>
      </w:r>
      <w:r w:rsidRPr="2030048C">
        <w:rPr>
          <w:rFonts w:ascii="Arial" w:eastAsia="Arial" w:hAnsi="Arial" w:cs="Arial"/>
          <w:sz w:val="22"/>
          <w:szCs w:val="22"/>
        </w:rPr>
        <w:t>and teaching experience.</w:t>
      </w:r>
      <w:r w:rsidRPr="2030048C">
        <w:rPr>
          <w:rFonts w:ascii="Arial" w:eastAsia="Arial" w:hAnsi="Arial" w:cs="Arial"/>
          <w:sz w:val="22"/>
          <w:szCs w:val="22"/>
        </w:rPr>
        <w:t> </w:t>
      </w:r>
      <w:r w:rsidRPr="2030048C">
        <w:rPr>
          <w:rFonts w:ascii="Arial" w:eastAsia="Arial" w:hAnsi="Arial" w:cs="Arial"/>
          <w:sz w:val="22"/>
          <w:szCs w:val="22"/>
        </w:rPr>
        <w:t xml:space="preserve"> Staff</w:t>
      </w:r>
      <w:r w:rsidRPr="2030048C">
        <w:rPr>
          <w:rFonts w:ascii="Arial" w:eastAsia="Arial" w:hAnsi="Arial" w:cs="Arial"/>
          <w:color w:val="FF0000"/>
          <w:sz w:val="22"/>
          <w:szCs w:val="22"/>
        </w:rPr>
        <w:t xml:space="preserve"> </w:t>
      </w:r>
      <w:r w:rsidRPr="2030048C">
        <w:rPr>
          <w:rFonts w:ascii="Arial" w:eastAsia="Arial" w:hAnsi="Arial" w:cs="Arial"/>
          <w:sz w:val="22"/>
          <w:szCs w:val="22"/>
        </w:rPr>
        <w:t>mediate</w:t>
      </w:r>
      <w:r w:rsidRPr="2030048C">
        <w:rPr>
          <w:rFonts w:ascii="Arial" w:eastAsia="Arial" w:hAnsi="Arial" w:cs="Arial"/>
          <w:sz w:val="22"/>
          <w:szCs w:val="22"/>
        </w:rPr>
        <w:t xml:space="preserve"> this experience across each level or stage of a course, moving from an explicit to implicit role in students’ development, enabling students to learn how to learn and become more progressively in</w:t>
      </w:r>
      <w:r w:rsidRPr="2030048C">
        <w:rPr>
          <w:rFonts w:ascii="Arial" w:eastAsia="Arial" w:hAnsi="Arial" w:cs="Arial"/>
          <w:sz w:val="22"/>
          <w:szCs w:val="22"/>
        </w:rPr>
        <w:t>dependent. Dedicated technical instructors provide</w:t>
      </w:r>
      <w:r w:rsidRPr="2030048C">
        <w:rPr>
          <w:rFonts w:ascii="Arial" w:eastAsia="Arial" w:hAnsi="Arial" w:cs="Arial"/>
          <w:sz w:val="22"/>
          <w:szCs w:val="22"/>
        </w:rPr>
        <w:t xml:space="preserve"> workshop space learning support in conjunction with the academic staff teams.</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u w:val="single"/>
        </w:rPr>
        <w:t>Student exhibitions and end-of- year shows</w:t>
      </w:r>
      <w:r w:rsidRPr="2030048C">
        <w:rPr>
          <w:rFonts w:ascii="Arial" w:eastAsia="Arial" w:hAnsi="Arial" w:cs="Arial"/>
          <w:sz w:val="22"/>
          <w:szCs w:val="22"/>
        </w:rPr>
        <w:t xml:space="preserve"> </w:t>
      </w: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Shows and exhibitions </w:t>
      </w:r>
      <w:r w:rsidRPr="2030048C">
        <w:rPr>
          <w:rFonts w:ascii="Arial" w:eastAsia="Arial" w:hAnsi="Arial" w:cs="Arial"/>
          <w:sz w:val="22"/>
          <w:szCs w:val="22"/>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u w:val="single"/>
        </w:rPr>
        <w:t>Infrastructure</w:t>
      </w: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Institute adopts an infrastructure of learning support means beyond the immediacy of academic courses.</w:t>
      </w:r>
      <w:r w:rsidRPr="2030048C">
        <w:rPr>
          <w:rFonts w:ascii="Arial" w:eastAsia="Arial" w:hAnsi="Arial" w:cs="Arial"/>
          <w:sz w:val="22"/>
          <w:szCs w:val="22"/>
        </w:rPr>
        <w:t> </w:t>
      </w:r>
      <w:r w:rsidRPr="2030048C">
        <w:rPr>
          <w:rFonts w:ascii="Arial" w:eastAsia="Arial" w:hAnsi="Arial" w:cs="Arial"/>
          <w:sz w:val="22"/>
          <w:szCs w:val="22"/>
        </w:rPr>
        <w:t xml:space="preserve"> These broadly divide into key mechanisms and enhancement opportunities, including:</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Student Office with a dedicated Administrator</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Non-Academic Student Sup</w:t>
      </w:r>
      <w:r w:rsidRPr="2030048C">
        <w:rPr>
          <w:rFonts w:ascii="Arial" w:eastAsia="Arial" w:hAnsi="Arial" w:cs="Arial"/>
          <w:sz w:val="22"/>
          <w:szCs w:val="22"/>
        </w:rPr>
        <w:t>port Counsellor</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R</w:t>
      </w:r>
      <w:r w:rsidRPr="2030048C">
        <w:rPr>
          <w:rFonts w:ascii="Arial" w:eastAsia="Arial" w:hAnsi="Arial" w:cs="Arial"/>
          <w:sz w:val="22"/>
          <w:szCs w:val="22"/>
        </w:rPr>
        <w:t>PL (</w:t>
      </w:r>
      <w:r w:rsidRPr="2030048C">
        <w:rPr>
          <w:rFonts w:ascii="Arial" w:eastAsia="Arial" w:hAnsi="Arial" w:cs="Arial"/>
          <w:sz w:val="22"/>
          <w:szCs w:val="22"/>
        </w:rPr>
        <w:t xml:space="preserve">Recognition </w:t>
      </w:r>
      <w:r w:rsidRPr="2030048C">
        <w:rPr>
          <w:rFonts w:ascii="Arial" w:eastAsia="Arial" w:hAnsi="Arial" w:cs="Arial"/>
          <w:sz w:val="22"/>
          <w:szCs w:val="22"/>
        </w:rPr>
        <w:t>of Prior Learning) processes</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Staff/Student Consultative Committee</w:t>
      </w:r>
      <w:r w:rsidRPr="2030048C">
        <w:rPr>
          <w:rFonts w:ascii="Arial" w:eastAsia="Arial" w:hAnsi="Arial" w:cs="Arial"/>
          <w:sz w:val="22"/>
          <w:szCs w:val="22"/>
        </w:rPr>
        <w:t>.</w:t>
      </w:r>
      <w:r w:rsidRPr="2030048C">
        <w:rPr>
          <w:rFonts w:ascii="Arial" w:eastAsia="Arial" w:hAnsi="Arial" w:cs="Arial"/>
          <w:sz w:val="22"/>
          <w:szCs w:val="22"/>
        </w:rPr>
        <w:t xml:space="preserve"> (SSCC)</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Board of Study (BOS)</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Information on Scholarships</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Language Support for l</w:t>
      </w:r>
      <w:r w:rsidRPr="2030048C">
        <w:rPr>
          <w:rFonts w:ascii="Arial" w:eastAsia="Arial" w:hAnsi="Arial" w:cs="Arial"/>
          <w:sz w:val="22"/>
          <w:szCs w:val="22"/>
        </w:rPr>
        <w:t>ocal student</w:t>
      </w:r>
      <w:r w:rsidRPr="2030048C">
        <w:rPr>
          <w:rFonts w:ascii="Arial" w:eastAsia="Arial" w:hAnsi="Arial" w:cs="Arial"/>
          <w:sz w:val="22"/>
          <w:szCs w:val="22"/>
        </w:rPr>
        <w:t>s</w:t>
      </w:r>
    </w:p>
    <w:p w:rsidRPr="2030048C" w:rsidP="2030048C">
      <w:pPr>
        <w:pStyle w:val="li"/>
        <w:widowControl w:val="0"/>
        <w:numPr>
          <w:ilvl w:val="0"/>
          <w:numId w:val="43"/>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Information Services, including the Library Resources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spacing w:before="0" w:after="0"/>
        <w:ind w:left="0" w:right="0"/>
        <w:jc w:val="both"/>
        <w:rPr>
          <w:rFonts w:ascii="Arial" w:eastAsia="Arial" w:hAnsi="Arial" w:cs="Arial"/>
          <w:sz w:val="22"/>
          <w:szCs w:val="22"/>
        </w:rPr>
      </w:pPr>
    </w:p>
    <w:p w:rsidR="3D0EBCB8"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w:t>
      </w:r>
      <w:r w:rsidRPr="2030048C">
        <w:rPr>
          <w:rFonts w:ascii="Arial" w:eastAsia="Arial" w:hAnsi="Arial" w:cs="Arial"/>
          <w:sz w:val="22"/>
          <w:szCs w:val="22"/>
        </w:rPr>
        <w:t>I</w:t>
      </w:r>
      <w:r w:rsidRPr="2030048C">
        <w:rPr>
          <w:rFonts w:ascii="Arial" w:eastAsia="Arial" w:hAnsi="Arial" w:cs="Arial"/>
          <w:sz w:val="22"/>
          <w:szCs w:val="22"/>
        </w:rPr>
        <w:t>nstitute</w:t>
      </w:r>
      <w:r w:rsidRPr="2030048C">
        <w:rPr>
          <w:rFonts w:ascii="Arial" w:eastAsia="Arial" w:hAnsi="Arial" w:cs="Arial"/>
          <w:sz w:val="22"/>
          <w:szCs w:val="22"/>
        </w:rPr>
        <w:t xml:space="preserve"> and Kingston University have</w:t>
      </w:r>
      <w:r w:rsidRPr="2030048C">
        <w:rPr>
          <w:rFonts w:ascii="Arial" w:eastAsia="Arial" w:hAnsi="Arial" w:cs="Arial"/>
          <w:sz w:val="22"/>
          <w:szCs w:val="22"/>
        </w:rPr>
        <w:t xml:space="preserve"> several methods for evaluating and improving the quality a</w:t>
      </w:r>
      <w:r w:rsidRPr="2030048C">
        <w:rPr>
          <w:rFonts w:ascii="Arial" w:eastAsia="Arial" w:hAnsi="Arial" w:cs="Arial"/>
          <w:sz w:val="22"/>
          <w:szCs w:val="22"/>
        </w:rPr>
        <w:t xml:space="preserve">nd standards of </w:t>
      </w:r>
      <w:r w:rsidRPr="2030048C">
        <w:rPr>
          <w:rFonts w:ascii="Arial" w:eastAsia="Arial" w:hAnsi="Arial" w:cs="Arial"/>
          <w:sz w:val="22"/>
          <w:szCs w:val="22"/>
        </w:rPr>
        <w:t>their</w:t>
      </w:r>
      <w:r w:rsidRPr="2030048C">
        <w:rPr>
          <w:rFonts w:ascii="Arial" w:eastAsia="Arial" w:hAnsi="Arial" w:cs="Arial"/>
          <w:sz w:val="22"/>
          <w:szCs w:val="22"/>
        </w:rPr>
        <w:t xml:space="preserve"> provision. </w:t>
      </w:r>
      <w:r w:rsidRPr="2030048C">
        <w:rPr>
          <w:rFonts w:ascii="Arial" w:eastAsia="Arial" w:hAnsi="Arial" w:cs="Arial"/>
          <w:sz w:val="22"/>
          <w:szCs w:val="22"/>
        </w:rPr>
        <w:t>These include:</w:t>
      </w:r>
    </w:p>
    <w:p w:rsidR="3D0EBCB8" w:rsidRPr="2030048C" w:rsidP="2030048C">
      <w:pPr>
        <w:pStyle w:val="p"/>
        <w:spacing w:before="0" w:after="0"/>
        <w:ind w:left="0" w:right="0"/>
        <w:jc w:val="both"/>
        <w:rPr>
          <w:rFonts w:ascii="Arial" w:eastAsia="Arial" w:hAnsi="Arial" w:cs="Arial"/>
          <w:sz w:val="22"/>
          <w:szCs w:val="22"/>
        </w:rPr>
      </w:pP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External </w:t>
      </w:r>
      <w:r w:rsidRPr="2030048C">
        <w:rPr>
          <w:rFonts w:ascii="Arial" w:eastAsia="Arial" w:hAnsi="Arial" w:cs="Arial"/>
          <w:sz w:val="22"/>
          <w:szCs w:val="22"/>
        </w:rPr>
        <w:t>Examiners</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Boards of Study with student representation</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Annual Monitoring and Enhancement</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Periodic review undertaken at subject level</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Student evaluation including MEQs</w:t>
      </w:r>
      <w:r w:rsidRPr="2030048C">
        <w:rPr>
          <w:rFonts w:ascii="Arial" w:eastAsia="Arial" w:hAnsi="Arial" w:cs="Arial"/>
          <w:sz w:val="22"/>
          <w:szCs w:val="22"/>
        </w:rPr>
        <w:t xml:space="preserve"> (Module Evaluation Questionnaires)</w:t>
      </w:r>
      <w:r w:rsidRPr="2030048C">
        <w:rPr>
          <w:rFonts w:ascii="Arial" w:eastAsia="Arial" w:hAnsi="Arial" w:cs="Arial"/>
          <w:sz w:val="22"/>
          <w:szCs w:val="22"/>
        </w:rPr>
        <w:t>, Level Surveys and the NSS</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Moderation</w:t>
      </w:r>
      <w:r w:rsidRPr="2030048C">
        <w:rPr>
          <w:rFonts w:ascii="Arial" w:eastAsia="Arial" w:hAnsi="Arial" w:cs="Arial"/>
          <w:sz w:val="22"/>
          <w:szCs w:val="22"/>
        </w:rPr>
        <w:t xml:space="preserve"> policies</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Feedback from employers</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Professionally active and academically qualified staff</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Staff links with industry and organisations</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Feedback from </w:t>
      </w:r>
      <w:r w:rsidRPr="2030048C">
        <w:rPr>
          <w:rFonts w:ascii="Arial" w:eastAsia="Arial" w:hAnsi="Arial" w:cs="Arial"/>
          <w:sz w:val="22"/>
          <w:szCs w:val="22"/>
        </w:rPr>
        <w:t xml:space="preserve">the </w:t>
      </w:r>
      <w:r w:rsidRPr="2030048C">
        <w:rPr>
          <w:rFonts w:ascii="Arial" w:eastAsia="Arial" w:hAnsi="Arial" w:cs="Arial"/>
          <w:sz w:val="22"/>
          <w:szCs w:val="22"/>
        </w:rPr>
        <w:t>advisory board</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Feedback from in</w:t>
      </w:r>
      <w:r w:rsidRPr="2030048C">
        <w:rPr>
          <w:rFonts w:ascii="Arial" w:eastAsia="Arial" w:hAnsi="Arial" w:cs="Arial"/>
          <w:sz w:val="22"/>
          <w:szCs w:val="22"/>
        </w:rPr>
        <w:t>dustry through internships</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Annual staff appraisals to identify staff deve</w:t>
      </w:r>
      <w:r w:rsidRPr="2030048C">
        <w:rPr>
          <w:rFonts w:ascii="Arial" w:eastAsia="Arial" w:hAnsi="Arial" w:cs="Arial"/>
          <w:sz w:val="22"/>
          <w:szCs w:val="22"/>
        </w:rPr>
        <w:t>lopment/training opportunities</w:t>
      </w:r>
    </w:p>
    <w:p w:rsidR="3D0EBCB8" w:rsidRPr="2030048C" w:rsidP="2030048C">
      <w:pPr>
        <w:pStyle w:val="li"/>
        <w:widowControl w:val="0"/>
        <w:numPr>
          <w:ilvl w:val="0"/>
          <w:numId w:val="44"/>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Liaison Officer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45"/>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45"/>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45"/>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45"/>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561"/>
        <w:gridCol w:w="327"/>
        <w:gridCol w:w="647"/>
        <w:gridCol w:w="647"/>
        <w:gridCol w:w="647"/>
        <w:gridCol w:w="647"/>
        <w:gridCol w:w="2"/>
        <w:gridCol w:w="645"/>
        <w:gridCol w:w="647"/>
        <w:gridCol w:w="647"/>
        <w:gridCol w:w="647"/>
        <w:gridCol w:w="4"/>
        <w:gridCol w:w="643"/>
        <w:gridCol w:w="647"/>
        <w:gridCol w:w="65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II5004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II6002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multilevel"/>
    <w:tmpl w:val="74989B11"/>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4989B12"/>
    <w:multiLevelType w:val="hybridMultilevel"/>
    <w:tmpl w:val="74989B1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4989B22"/>
    <w:multiLevelType w:val="hybridMultilevel"/>
    <w:tmpl w:val="74989B2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4989B23"/>
    <w:multiLevelType w:val="hybridMultilevel"/>
    <w:tmpl w:val="74989B2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4989B24"/>
    <w:multiLevelType w:val="hybridMultilevel"/>
    <w:tmpl w:val="74989B24"/>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4989B25"/>
    <w:multiLevelType w:val="hybridMultilevel"/>
    <w:tmpl w:val="74989B25"/>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4989B26"/>
    <w:multiLevelType w:val="hybridMultilevel"/>
    <w:tmpl w:val="74989B2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74989B27"/>
    <w:multiLevelType w:val="hybridMultilevel"/>
    <w:tmpl w:val="74989B2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
    <w:name w:val="li"/>
    <w:basedOn w:val="Normal"/>
  </w:style>
  <w:style w:type="paragraph" w:customStyle="1" w:styleId="ListParagraph0">
    <w:name w:val="ListParagraph"/>
    <w:basedOn w:val="Normal"/>
    <w:pPr>
      <w:spacing w:line="276" w:lineRule="auto"/>
    </w:pPr>
    <w:rPr>
      <w:rFonts w:ascii="Cambria" w:eastAsia="Cambria" w:hAnsi="Cambria" w:cs="Cambria"/>
      <w:sz w:val="22"/>
      <w:szCs w:val="22"/>
    </w:rPr>
  </w:style>
  <w:style w:type="paragraph" w:customStyle="1" w:styleId="Body">
    <w:name w:val="Body"/>
    <w:basedOn w:val="Normal"/>
    <w:rPr>
      <w:sz w:val="24"/>
      <w:szCs w:val="24"/>
    </w:rPr>
  </w:style>
  <w:style w:type="paragraph" w:customStyle="1" w:styleId="p0">
    <w:name w:val="p_0"/>
    <w:basedOn w:val="ListParagraph"/>
  </w:style>
  <w:style w:type="paragraph" w:customStyle="1" w:styleId="ListParagraph00">
    <w:name w:val="ListParagraph_0"/>
    <w:basedOn w:val="ListParagraph"/>
    <w:pPr>
      <w:spacing w:line="276" w:lineRule="auto"/>
    </w:pPr>
    <w:rPr>
      <w:rFonts w:ascii="Cambria" w:eastAsia="Cambria" w:hAnsi="Cambria" w:cs="Cambria"/>
      <w:sz w:val="22"/>
      <w:szCs w:val="22"/>
    </w:rPr>
  </w:style>
  <w:style w:type="paragraph" w:customStyle="1" w:styleId="li0">
    <w:name w:val="li_0"/>
    <w:basedOn w:val="ListParagraph"/>
  </w:style>
  <w:style w:type="paragraph" w:customStyle="1" w:styleId="HTMLPreformatted">
    <w:name w:val="HTMLPreformatted"/>
    <w:basedOn w:val="Normal"/>
    <w:rPr>
      <w:rFonts w:ascii="Arial Unicode MS" w:eastAsia="Arial Unicode MS" w:hAnsi="Arial Unicode MS" w:cs="Arial Unicode MS"/>
      <w:color w:val="000000"/>
      <w:sz w:val="20"/>
      <w:szCs w:val="20"/>
    </w:rPr>
  </w:style>
  <w:style w:type="table" w:customStyle="1" w:styleId="table">
    <w:name w:val="table"/>
    <w:basedOn w:val="TableNormal"/>
    <w:tblPr/>
  </w:style>
  <w:style w:type="paragraph" w:customStyle="1" w:styleId="Pa0">
    <w:name w:val="Pa0"/>
    <w:basedOn w:val="Normal"/>
    <w:pPr>
      <w:widowControl w:val="0"/>
      <w:spacing w:line="241" w:lineRule="atLeast"/>
    </w:pPr>
    <w:rPr>
      <w:rFonts w:ascii="Univers LT Std 45 Light" w:eastAsia="Univers LT Std 45 Light" w:hAnsi="Univers LT Std 45 Light" w:cs="Univers LT Std 45 Light"/>
      <w:sz w:val="24"/>
      <w:szCs w:val="24"/>
    </w:rPr>
  </w:style>
  <w:style w:type="character" w:customStyle="1" w:styleId="A0">
    <w:name w:val="A0"/>
    <w:basedOn w:val="DefaultParagraphFont"/>
    <w:rPr>
      <w:color w:val="221E1F"/>
      <w:sz w:val="20"/>
      <w:szCs w:val="20"/>
    </w:rPr>
  </w:style>
  <w:style w:type="character" w:customStyle="1" w:styleId="Hyperlink0">
    <w:name w:val="Hyperlink_0"/>
    <w:basedOn w:val="DefaultParagraphFont"/>
    <w:rPr>
      <w:color w:val="0000FF"/>
    </w:rPr>
  </w:style>
  <w:style w:type="paragraph" w:customStyle="1" w:styleId="NormalWeb">
    <w:name w:val="NormalWeb"/>
    <w:basedOn w:val="Normal"/>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esc.edu/online-writing-center/resources/research/research-paper/essay/"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6095E75-31BC-4F4A-99A2-7684D63A487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