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Fashion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Teamwork Education Private Limited (Indian Institute of Art and Design), India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Fashion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Fashion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Teamwork Education Private Limited (Indian Institute of Art and Design), India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IIAD New Delhi India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Three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Six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Recognised Senior Secondary (XII Standard CBSE) certificate or equivalent</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Equivalent Foundation Diploma from other recognised Institutes (Qualified applicants will be selected according to their performance in the personal interview and portfolio review).</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Students whose prior education has not been in the English Medium will require an IELTS score of 6.0 or equivalent.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jc w:val="both"/>
        <w:rPr>
          <w:rStyle w:val="normaltextrun"/>
          <w:rFonts w:ascii="Arial" w:eastAsia="Arial" w:hAnsi="Arial" w:cs="Arial"/>
          <w:color w:val="000000" w:themeColor="text1"/>
          <w:sz w:val="24"/>
          <w:szCs w:val="24"/>
          <w:shd w:val="clear" w:color="auto" w:fill="FFFFFF"/>
        </w:rPr>
      </w:pPr>
    </w:p>
    <w:p w:rsidRPr="2030048C" w:rsidP="2030048C">
      <w:pPr>
        <w:pStyle w:val="ListParagraph0"/>
        <w:numPr>
          <w:ilvl w:val="0"/>
          <w:numId w:val="13"/>
        </w:numPr>
        <w:pBdr>
          <w:left w:val="none" w:sz="0" w:space="7" w:color="auto"/>
        </w:pBdr>
        <w:spacing w:before="0" w:after="0"/>
        <w:ind w:left="36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prepare students for graduate employment as sustainable managers in the international context, research, further study, and lifelong learning by developing their intellectual, practical and key skills</w:t>
      </w:r>
    </w:p>
    <w:p w:rsidRPr="2030048C" w:rsidP="2030048C">
      <w:pPr>
        <w:pStyle w:val="ListParagraph0"/>
        <w:numPr>
          <w:ilvl w:val="0"/>
          <w:numId w:val="13"/>
        </w:numPr>
        <w:pBdr>
          <w:left w:val="none" w:sz="0" w:space="7" w:color="auto"/>
        </w:pBdr>
        <w:spacing w:before="0" w:after="0"/>
        <w:ind w:left="36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To provide opportunities for acquiring basic knowledge and understanding of key business disciplines, including fashion business environment, fashion business context, fashion marketing practices, and personal &amp; professional development. </w:t>
      </w:r>
    </w:p>
    <w:p w:rsidRPr="2030048C" w:rsidP="2030048C">
      <w:pPr>
        <w:pStyle w:val="ListParagraph0"/>
        <w:numPr>
          <w:ilvl w:val="0"/>
          <w:numId w:val="13"/>
        </w:numPr>
        <w:pBdr>
          <w:left w:val="none" w:sz="0" w:space="7" w:color="auto"/>
        </w:pBdr>
        <w:spacing w:before="0" w:after="0"/>
        <w:ind w:left="36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To develop an appropriate level of critical knowledge and apply the underlying theoretical principles of fashion </w:t>
      </w:r>
      <w:r w:rsidRPr="2030048C">
        <w:rPr>
          <w:rStyle w:val="normaltextrun"/>
          <w:rFonts w:ascii="Arial" w:eastAsia="Arial" w:hAnsi="Arial" w:cs="Arial"/>
          <w:color w:val="000000" w:themeColor="text1"/>
          <w:sz w:val="22"/>
          <w:szCs w:val="22"/>
          <w:shd w:val="clear" w:color="auto" w:fill="FFFFFF"/>
        </w:rPr>
        <w:t xml:space="preserve">business </w:t>
      </w:r>
      <w:r w:rsidRPr="2030048C">
        <w:rPr>
          <w:rStyle w:val="normaltextrun"/>
          <w:rFonts w:ascii="Arial" w:eastAsia="Arial" w:hAnsi="Arial" w:cs="Arial"/>
          <w:color w:val="000000" w:themeColor="text1"/>
          <w:sz w:val="22"/>
          <w:szCs w:val="22"/>
          <w:shd w:val="clear" w:color="auto" w:fill="FFFFFF"/>
        </w:rPr>
        <w:t xml:space="preserve">management to the fashion industry. </w:t>
      </w:r>
    </w:p>
    <w:p w:rsidRPr="2030048C" w:rsidP="2030048C">
      <w:pPr>
        <w:pStyle w:val="ListParagraph0"/>
        <w:numPr>
          <w:ilvl w:val="0"/>
          <w:numId w:val="13"/>
        </w:numPr>
        <w:pBdr>
          <w:left w:val="none" w:sz="0" w:space="7" w:color="auto"/>
        </w:pBdr>
        <w:spacing w:before="0" w:after="0"/>
        <w:ind w:left="36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To enable an approach to learning that encourages students to work independently and creatively whilst enabling them to develop confidence in becoming a reflective independent learner, strategic thinker, and a decision-maker. </w:t>
      </w:r>
    </w:p>
    <w:p w:rsidRPr="2030048C" w:rsidP="2030048C">
      <w:pPr>
        <w:pStyle w:val="p0"/>
        <w:spacing w:before="0" w:after="0"/>
        <w:ind w:left="0" w:right="0"/>
        <w:rPr>
          <w:rStyle w:val="normaltextrun"/>
          <w:rFonts w:ascii="Arial" w:eastAsia="Arial" w:hAnsi="Arial" w:cs="Arial"/>
          <w:color w:val="000000" w:themeColor="text1"/>
          <w:sz w:val="24"/>
          <w:szCs w:val="24"/>
          <w:shd w:val="clear" w:color="auto" w:fill="FFFFFF"/>
        </w:rPr>
      </w:pPr>
    </w:p>
    <w:p w:rsidRPr="2030048C" w:rsidP="2030048C">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three-year programme aims to provide an opportunity for students to gain their own experience of working in an applied setting.</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It also aims to enable them to reflect upon it to focus on aspects of this experience that they can relate to theoretical concepts.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problem-solving skills through research, explorations, critical analysis, and subsequent development of solutions within a professional, contextual and ethical framework with team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business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technology skills through processing information and learning various e-commerce formats.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learning from a range of key decision-making activities within the fashion marketing practice domain, such as retail management, merchandising and brand promotion.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critically research problems and issues to produce solutions and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communication skills traditionally and through the application of a range of creative digital media.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concepts of key strategic management disciplines such as finance, information systems, organisation behaviour and international business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comprehensive extensive breadth and depth of knowledge of contemporary business innovative strategies for new or existing ventures.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advanced practical understanding of research data handling and statistical skills for business problem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contextual understanding of various aspects of the fashion business environment with a special focus on the dynamics of innovation and entrepreneurship.</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and understand in-depth the requirements of key functional roles of fashion management within the global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research and other planning tools in managing projects in business operations.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which total up to 120 credits at each level (4×</w:t>
      </w:r>
      <w:r w:rsidRPr="2030048C">
        <w:rPr>
          <w:rFonts w:ascii="Arial" w:eastAsia="Arial" w:hAnsi="Arial" w:cs="Arial"/>
          <w:color w:val="000000" w:themeColor="text1" w:themeShade="FF" w:themeTint="FF"/>
          <w:sz w:val="24"/>
          <w:szCs w:val="24"/>
        </w:rPr>
        <w:t>30 credit modules each). Level 4 has 4 modules and each module is of 30 credits. Level 5 has 4 modules each of 30 credits. Level 6 has 3 modules (2x30 credits and 1x60 credits).</w:t>
      </w:r>
    </w:p>
    <w:tbl>
      <w:tblPr>
        <w:tblCellSpacing w:w="15" w:type="dxa"/>
        <w:tblCellMar>
          <w:top w:w="15" w:type="dxa"/>
          <w:left w:w="15" w:type="dxa"/>
          <w:bottom w:w="15" w:type="dxa"/>
          <w:right w:w="15" w:type="dxa"/>
        </w:tblCellMar>
      </w:tblPr>
      <w:tblGrid>
        <w:gridCol w:w="5828"/>
        <w:gridCol w:w="817"/>
        <w:gridCol w:w="670"/>
        <w:gridCol w:w="604"/>
        <w:gridCol w:w="1017"/>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u w:val="single"/>
              </w:rPr>
              <w:t>Level 4:</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At Level 4 the emphasis is on enabling students to acquire basic blocks of knowledge and skills in context of Fashion business management. Through each of four modules that make up this level, the concentration is on exposing students to the understanding of fashion business concepts, in order to foster problem solving and decision making. Also important at this level is a preliminary introduction of students to inter-disciplinary and contextual forms of knowledge. At this level, the projects focus on understanding, analyzing and interpretation of their embodied knowledge. The curriculum contents and pedagogy at this level are targeted to develop intellectual, conceptual, communication and problem-solving skills.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Curriculum areas include: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Fashion Business Context and Environment.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Elements of Fashion and Design.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Principles of Fashion Merchandising.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Visual merchandising.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Raw materials of Fashion.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Macro and Microeconomic Analysis and Indian Policy Framework.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Accounting and Financial Statements Analysis.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Principles of Management.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Supply Chain and Logistics Management Principles.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IT-based Organisation in the Digital Economy.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Communication Skills for Business. </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Basic Mathematical and Statistical skills. </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Principles of Fashion Marketing.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  </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Compulsory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Module Code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Credit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Value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Teaching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Block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Fashion Context I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II4101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Fashion Business Environment I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II4102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Fashion Marketing Practices I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II4103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Personal &amp; Professional Development I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II4104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4 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 </w:t>
            </w:r>
          </w:p>
        </w:tc>
      </w:tr>
    </w:tbl>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exiting the programme at this point who have completed 120 credits are eligible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for the award of Certificate of Higher Education in </w:t>
      </w:r>
      <w:r w:rsidRPr="2030048C">
        <w:rPr>
          <w:rFonts w:ascii="Arial" w:eastAsia="Arial" w:hAnsi="Arial" w:cs="Arial"/>
          <w:b/>
          <w:bCs/>
          <w:color w:val="000000" w:themeColor="text1" w:themeShade="FF" w:themeTint="FF"/>
          <w:sz w:val="24"/>
          <w:szCs w:val="24"/>
        </w:rPr>
        <w:t xml:space="preserve">Fashion Business Management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u w:val="single"/>
        </w:rPr>
        <w:t xml:space="preserve">Level 5: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four modules of Level 5 enable projects and assignments-based learning, geared towards application of theoretical knowledge. In this level, the project-based learning takes special prominence as students engage with the practices and concepts of their chosen field through increasingly challenging projects. The programme is designed across levels to guide the students towards independent study. </w:t>
      </w:r>
    </w:p>
    <w:p w:rsidRPr="2030048C" w:rsidP="2030048C">
      <w:pPr>
        <w:pStyle w:val="HTMLPreformatted"/>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Curriculum areas include: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9"/>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Fashion Forecasting &amp; New Product Development.</w:t>
      </w:r>
    </w:p>
    <w:p w:rsidRPr="2030048C" w:rsidP="2030048C">
      <w:pPr>
        <w:numPr>
          <w:ilvl w:val="0"/>
          <w:numId w:val="19"/>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Apparel Production &amp; Quality Management.</w:t>
      </w:r>
    </w:p>
    <w:p w:rsidRPr="2030048C" w:rsidP="2030048C">
      <w:pPr>
        <w:numPr>
          <w:ilvl w:val="0"/>
          <w:numId w:val="19"/>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Merchandising for International Markets</w:t>
      </w:r>
    </w:p>
    <w:p w:rsidRPr="2030048C" w:rsidP="2030048C">
      <w:pPr>
        <w:numPr>
          <w:ilvl w:val="0"/>
          <w:numId w:val="19"/>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Buying and Sourcing of Fashion Apparels </w:t>
      </w:r>
    </w:p>
    <w:p w:rsidRPr="2030048C" w:rsidP="2030048C">
      <w:pPr>
        <w:numPr>
          <w:ilvl w:val="0"/>
          <w:numId w:val="19"/>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Fashion Brand Promotion.</w:t>
      </w:r>
    </w:p>
    <w:p w:rsidRPr="2030048C" w:rsidP="2030048C">
      <w:pPr>
        <w:numPr>
          <w:ilvl w:val="0"/>
          <w:numId w:val="19"/>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Fashion Retail Store Operations Management</w:t>
      </w:r>
    </w:p>
    <w:p w:rsidRPr="2030048C" w:rsidP="2030048C">
      <w:pPr>
        <w:numPr>
          <w:ilvl w:val="0"/>
          <w:numId w:val="19"/>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 Store Sales &amp; Customer Relationship Management.</w:t>
      </w:r>
    </w:p>
    <w:p w:rsidRPr="2030048C" w:rsidP="2030048C">
      <w:pPr>
        <w:numPr>
          <w:ilvl w:val="0"/>
          <w:numId w:val="19"/>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International Fashion Business Operations.</w:t>
      </w:r>
    </w:p>
    <w:p w:rsidRPr="2030048C" w:rsidP="2030048C">
      <w:pPr>
        <w:numPr>
          <w:ilvl w:val="0"/>
          <w:numId w:val="19"/>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Website development: UI and API development tools.</w:t>
      </w:r>
    </w:p>
    <w:p w:rsidRPr="2030048C" w:rsidP="2030048C">
      <w:pPr>
        <w:numPr>
          <w:ilvl w:val="0"/>
          <w:numId w:val="19"/>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Business Analytics: using Statistics and MS-Excel</w:t>
      </w:r>
      <w:r w:rsidRPr="2030048C">
        <w:rPr>
          <w:rFonts w:ascii="Arial" w:eastAsia="Arial" w:hAnsi="Arial" w:cs="Arial"/>
          <w:color w:val="000000" w:themeColor="text1" w:themeShade="FF" w:themeTint="FF"/>
          <w:sz w:val="24"/>
          <w:szCs w:val="24"/>
        </w:rPr>
        <w:t> </w:t>
      </w:r>
    </w:p>
    <w:tbl>
      <w:tblPr>
        <w:tblCellSpacing w:w="15" w:type="dxa"/>
        <w:tblCellMar>
          <w:top w:w="15" w:type="dxa"/>
          <w:left w:w="15" w:type="dxa"/>
          <w:bottom w:w="15" w:type="dxa"/>
          <w:right w:w="15" w:type="dxa"/>
        </w:tblCellMar>
      </w:tblPr>
      <w:tblGrid>
        <w:gridCol w:w="4277"/>
        <w:gridCol w:w="1459"/>
        <w:gridCol w:w="1352"/>
        <w:gridCol w:w="604"/>
        <w:gridCol w:w="1018"/>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Compulsory Modules</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Module Code</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Credit Value</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Teaching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Block</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Fashion Context II</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II5101</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5</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Fashion Business Environment II</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II5102</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5</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Fashion Marketing Practices II</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II5103</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5</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Personal &amp; Professional Development II</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II5104</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5</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1&amp;2</w:t>
            </w:r>
          </w:p>
        </w:tc>
      </w:tr>
    </w:tbl>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exiting the program at this point who have completed 240 credits are eligible for the award of Diploma of Higher Education in </w:t>
      </w:r>
      <w:r w:rsidRPr="2030048C">
        <w:rPr>
          <w:rFonts w:ascii="Arial" w:eastAsia="Arial" w:hAnsi="Arial" w:cs="Arial"/>
          <w:b/>
          <w:bCs/>
          <w:color w:val="000000" w:themeColor="text1" w:themeShade="FF" w:themeTint="FF"/>
          <w:sz w:val="24"/>
          <w:szCs w:val="24"/>
        </w:rPr>
        <w:t>Fashion Business Management</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u w:val="single"/>
        </w:rPr>
        <w:t>Level 6:</w:t>
      </w: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final level (Level 6) of the programme is divided into two phases comprising 60 credits each. The first phase focusses on further refining of the intellectual position of the </w:t>
      </w:r>
      <w:r w:rsidRPr="2030048C">
        <w:rPr>
          <w:rFonts w:ascii="Arial" w:eastAsia="Arial" w:hAnsi="Arial" w:cs="Arial"/>
          <w:color w:val="000000" w:themeColor="text1" w:themeShade="FF" w:themeTint="FF"/>
          <w:sz w:val="24"/>
          <w:szCs w:val="24"/>
        </w:rPr>
        <w:t xml:space="preserve">management researcher about the </w:t>
      </w:r>
      <w:r w:rsidRPr="2030048C">
        <w:rPr>
          <w:rFonts w:ascii="Arial" w:eastAsia="Arial" w:hAnsi="Arial" w:cs="Arial"/>
          <w:color w:val="000000" w:themeColor="text1" w:themeShade="FF" w:themeTint="FF"/>
          <w:sz w:val="24"/>
          <w:szCs w:val="24"/>
        </w:rPr>
        <w:t xml:space="preserve">Fashion </w:t>
      </w:r>
      <w:r w:rsidRPr="2030048C">
        <w:rPr>
          <w:rFonts w:ascii="Arial" w:eastAsia="Arial" w:hAnsi="Arial" w:cs="Arial"/>
          <w:color w:val="000000" w:themeColor="text1" w:themeShade="FF" w:themeTint="FF"/>
          <w:sz w:val="24"/>
          <w:szCs w:val="24"/>
        </w:rPr>
        <w:t>Business Environment and the context of the Business Domain. This module helps</w:t>
      </w:r>
      <w:r w:rsidRPr="2030048C">
        <w:rPr>
          <w:rFonts w:ascii="Arial" w:eastAsia="Arial" w:hAnsi="Arial" w:cs="Arial"/>
          <w:color w:val="000000" w:themeColor="text1" w:themeShade="FF" w:themeTint="FF"/>
          <w:sz w:val="24"/>
          <w:szCs w:val="24"/>
        </w:rPr>
        <w:t xml:space="preserve"> the students gain knowledge about the chosen business domain, research methodology and the project brief. This module helps the students to start preparation for the major capstone project. In this, the student has to suitably demonstrate his/her ability to take on the role akin to that of a professional practitioner.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second phase is about the implementation of the Capstone Project as a final project, the student thus chooses and initiates a particular project in the business domain decided in the earlier phase.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In this project, the student will not only suitably demonstrate their ability to critically evaluate a chosen business domain, but also develop essential skills of running a successful management practice.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Curriculum areas include: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20"/>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Research Methodology. </w:t>
      </w:r>
    </w:p>
    <w:p w:rsidRPr="2030048C" w:rsidP="2030048C">
      <w:pPr>
        <w:numPr>
          <w:ilvl w:val="0"/>
          <w:numId w:val="20"/>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Practice related Document Development.</w:t>
      </w:r>
    </w:p>
    <w:p w:rsidRPr="2030048C" w:rsidP="2030048C">
      <w:pPr>
        <w:numPr>
          <w:ilvl w:val="0"/>
          <w:numId w:val="20"/>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Managing Teams at Work Place</w:t>
      </w:r>
    </w:p>
    <w:p w:rsidRPr="2030048C" w:rsidP="2030048C">
      <w:pPr>
        <w:numPr>
          <w:ilvl w:val="0"/>
          <w:numId w:val="20"/>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Self-promotion &amp; Communication skills.</w:t>
      </w:r>
    </w:p>
    <w:p w:rsidRPr="2030048C" w:rsidP="2030048C">
      <w:pPr>
        <w:numPr>
          <w:ilvl w:val="0"/>
          <w:numId w:val="20"/>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sz w:val="24"/>
          <w:szCs w:val="24"/>
        </w:rPr>
        <w:t>Business Problem Resolution &amp; Formation of Hypotheses</w:t>
      </w:r>
    </w:p>
    <w:p w:rsidRPr="2030048C" w:rsidP="2030048C">
      <w:pPr>
        <w:numPr>
          <w:ilvl w:val="0"/>
          <w:numId w:val="20"/>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sz w:val="24"/>
          <w:szCs w:val="24"/>
        </w:rPr>
        <w:t>Planning Tools for Management of Project.</w:t>
      </w:r>
    </w:p>
    <w:p w:rsidRPr="2030048C" w:rsidP="2030048C">
      <w:pPr>
        <w:numPr>
          <w:ilvl w:val="0"/>
          <w:numId w:val="20"/>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Self-initiated </w:t>
      </w:r>
      <w:r w:rsidRPr="2030048C">
        <w:rPr>
          <w:rStyle w:val="A0"/>
          <w:rFonts w:ascii="Arial" w:eastAsia="Arial" w:hAnsi="Arial" w:cs="Arial"/>
          <w:color w:val="000000" w:themeColor="text1" w:themeShade="FF" w:themeTint="FF"/>
          <w:sz w:val="22"/>
          <w:szCs w:val="22"/>
        </w:rPr>
        <w:t>investigation and research of Major Project theme/s and field of study acknowledging context, need, and objective.</w:t>
      </w:r>
    </w:p>
    <w:p w:rsidRPr="2030048C" w:rsidP="2030048C">
      <w:pPr>
        <w:numPr>
          <w:ilvl w:val="0"/>
          <w:numId w:val="20"/>
        </w:numPr>
        <w:ind w:left="720" w:right="0" w:hanging="360"/>
        <w:jc w:val="both"/>
        <w:rPr>
          <w:rFonts w:ascii="Arial" w:eastAsia="Arial" w:hAnsi="Arial" w:cs="Arial"/>
          <w:color w:val="000000" w:themeColor="text1" w:themeShade="FF" w:themeTint="FF"/>
          <w:sz w:val="24"/>
          <w:szCs w:val="24"/>
        </w:rPr>
      </w:pPr>
      <w:r w:rsidRPr="2030048C">
        <w:rPr>
          <w:rStyle w:val="A0"/>
          <w:rFonts w:ascii="Arial" w:eastAsia="Arial" w:hAnsi="Arial" w:cs="Arial"/>
          <w:color w:val="000000" w:themeColor="text1" w:themeShade="FF" w:themeTint="FF"/>
          <w:sz w:val="22"/>
          <w:szCs w:val="22"/>
        </w:rPr>
        <w:t>C</w:t>
      </w:r>
      <w:r w:rsidRPr="2030048C">
        <w:rPr>
          <w:rFonts w:ascii="Arial" w:eastAsia="Arial" w:hAnsi="Arial" w:cs="Arial"/>
          <w:color w:val="000000" w:themeColor="text1" w:themeShade="FF" w:themeTint="FF"/>
          <w:sz w:val="24"/>
          <w:szCs w:val="24"/>
        </w:rPr>
        <w:t>ritical self-reflection on the Personal Project Development Process and Outcome.</w:t>
      </w:r>
    </w:p>
    <w:p w:rsidRPr="2030048C" w:rsidP="2030048C">
      <w:pPr>
        <w:numPr>
          <w:ilvl w:val="0"/>
          <w:numId w:val="20"/>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Exit strategy, research into employment opportunities and or opportunities for further study.</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tbl>
      <w:tblPr>
        <w:tblCellSpacing w:w="15" w:type="dxa"/>
        <w:tblCellMar>
          <w:top w:w="15" w:type="dxa"/>
          <w:left w:w="15" w:type="dxa"/>
          <w:bottom w:w="15" w:type="dxa"/>
          <w:right w:w="15" w:type="dxa"/>
        </w:tblCellMar>
      </w:tblPr>
      <w:tblGrid>
        <w:gridCol w:w="4286"/>
        <w:gridCol w:w="1518"/>
        <w:gridCol w:w="723"/>
        <w:gridCol w:w="644"/>
        <w:gridCol w:w="1765"/>
      </w:tblGrid>
      <w:tr>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Compulsory Modules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Module Code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Credit</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Value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Level</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Teaching Block</w:t>
            </w:r>
          </w:p>
        </w:tc>
      </w:tr>
      <w:tr>
        <w:tc>
          <w:tcPr>
            <w:noWrap w:val="0"/>
            <w:tcMar>
              <w:top w:w="15" w:type="dxa"/>
              <w:left w:w="15" w:type="dxa"/>
              <w:bottom w:w="15" w:type="dxa"/>
              <w:right w:w="15" w:type="dxa"/>
            </w:tcMar>
            <w:vAlign w:val="center"/>
            <w:hideMark/>
          </w:tcPr>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Fashion Business Environment III</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II6101</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Personal &amp; Professional Development III</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II6102</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w:t>
            </w:r>
          </w:p>
        </w:tc>
      </w:tr>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Capstone Project</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II6103</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60</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2</w:t>
            </w:r>
          </w:p>
        </w:tc>
      </w:tr>
    </w:tbl>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requires the completion of all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Fashion 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 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Business Environment 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Context 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Marketing Practice 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N/A</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Fashion 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Business Environment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Context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Marketing Practices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 at this point who have completed 240 credits are eligible for the award of Diploma of Higher Education in Fashion Business Management.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 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Fashion Business Environment III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III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teaching and learning strategy of the programme focusses on developing a judicious mix of theory and practice. The projects, case study discussions, PowerPoint presentations and assignments enable students to explore and conduct primary and secondary research, which helps in developing their analytical and conceptual skills. The assessment strategy ensures that students have explicit formative opportunities for practice and to help them achieve their full potential in summative assessment. A range of methods will be selected to actively engage students, including problem and inquiry-based learning, industry research and peer-assisted learning. The first year of study concentrates on the main knowledge transfer to familiarise students with main business concepts. This is reflected in the main assessment strategies in level 4.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Across levels 5 &amp; 6, the focus shifts to application of the theoretical knowledge to practice.  Students are encouraged to work in group assignments for team building as well as to develop pragmatic and work-based required skills. The programme is designed in a way that students are guided towards a more independent study across levels.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At Level 6, there is an emphasis on encouraging integrative learning that draws upon the prior consolidated learning of modules at level 4 and 5.  The project-based learning at this level ensures working in an atmosphere where faculty and student embark on projects of inquiry as collaborators. To further support students personal tutors are provided who remain with them throughout the duration of the course and who are expected to identify and discuss areas of strength and weakness in each student's knowledge and skills set. The feedback received from personal tutors will feed forward to second year to ensure continuous guidance and support to the students throughout the programme,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teaching and learning strategy incorporate: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delivery of modules will also include lectures, seminars, workshops, group critique, individual tutorials, demonstrations, project-briefings, study visits, peer-learning activities, and independent study.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sz w:val="24"/>
          <w:szCs w:val="24"/>
        </w:rPr>
        <w:t>Lectures</w:t>
      </w:r>
      <w:r w:rsidRPr="2030048C">
        <w:rPr>
          <w:rFonts w:ascii="Arial" w:eastAsia="Arial" w:hAnsi="Arial" w:cs="Arial"/>
          <w:sz w:val="24"/>
          <w:szCs w:val="24"/>
        </w:rPr>
        <w:t xml:space="preserve"> - A member of staff or Guest Faculty will provide input, often followed up by group discussion to ensure a full understanding and to encourage critical analysis of the material.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b/>
          <w:bCs/>
          <w:sz w:val="24"/>
          <w:szCs w:val="24"/>
        </w:rPr>
        <w:t>Case study Discussions</w:t>
      </w:r>
      <w:r w:rsidRPr="2030048C">
        <w:rPr>
          <w:rFonts w:ascii="Arial" w:eastAsia="Arial" w:hAnsi="Arial" w:cs="Arial"/>
          <w:sz w:val="24"/>
          <w:szCs w:val="24"/>
        </w:rPr>
        <w:t xml:space="preserve"> - Cases are used to study real-life business situations faced by a real company in the past these are expected to generate intense thought-provoking discussions around the theory discussed in the class. The case study method also uses the application of theory and concepts to generate solutions and decision-making alternatives for a business situation /issue. Groups and individual PowerPoint presentations are made by participating students to present their business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b/>
          <w:bCs/>
          <w:sz w:val="24"/>
          <w:szCs w:val="24"/>
        </w:rPr>
        <w:t>Seminars</w:t>
      </w:r>
      <w:r w:rsidRPr="2030048C">
        <w:rPr>
          <w:rFonts w:ascii="Arial" w:eastAsia="Arial" w:hAnsi="Arial" w:cs="Arial"/>
          <w:sz w:val="24"/>
          <w:szCs w:val="24"/>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b/>
          <w:bCs/>
          <w:sz w:val="24"/>
          <w:szCs w:val="24"/>
        </w:rPr>
        <w:t>Group Review</w:t>
      </w:r>
      <w:r w:rsidRPr="2030048C">
        <w:rPr>
          <w:rFonts w:ascii="Arial" w:eastAsia="Arial" w:hAnsi="Arial" w:cs="Arial"/>
          <w:sz w:val="24"/>
          <w:szCs w:val="24"/>
        </w:rPr>
        <w:t xml:space="preserve"> - On these occasions a group of students and members of staff and, if appropriate, invited industry guests will discuss the work of one or more students who are present. Group reviews can take place in studios or students' workplace, if appropriate; the work to be discussed might be more formally exhibited. Discussion of this kind provides an ideal arena for the realisation of common issues and the dissemination of ideas. Reviews also provide an invaluable form of self-appraisal; since the student will not only receive individual oral feedback but will indirectly learn through the discussion centred upon the work of other members of the group. Additionally, group reviews provide opportunities for ‘feed-forward' concerning project aims, programme aims and student outcomes.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b/>
          <w:bCs/>
          <w:sz w:val="24"/>
          <w:szCs w:val="24"/>
        </w:rPr>
        <w:t>Tutorials</w:t>
      </w:r>
      <w:r w:rsidRPr="2030048C">
        <w:rPr>
          <w:rFonts w:ascii="Arial" w:eastAsia="Arial" w:hAnsi="Arial" w:cs="Arial"/>
          <w:sz w:val="24"/>
          <w:szCs w:val="24"/>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feedforward on work in progress.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b/>
          <w:bCs/>
          <w:sz w:val="24"/>
          <w:szCs w:val="24"/>
        </w:rPr>
        <w:t>Demonstration</w:t>
      </w:r>
      <w:r w:rsidRPr="2030048C">
        <w:rPr>
          <w:rFonts w:ascii="Arial" w:eastAsia="Arial" w:hAnsi="Arial" w:cs="Arial"/>
          <w:sz w:val="24"/>
          <w:szCs w:val="24"/>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necessarily go on to learn and apply the skills or knowledge.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b/>
          <w:bCs/>
          <w:sz w:val="24"/>
          <w:szCs w:val="24"/>
        </w:rPr>
        <w:t>Study Visits</w:t>
      </w:r>
      <w:r w:rsidRPr="2030048C">
        <w:rPr>
          <w:rFonts w:ascii="Arial" w:eastAsia="Arial" w:hAnsi="Arial" w:cs="Arial"/>
          <w:sz w:val="24"/>
          <w:szCs w:val="24"/>
        </w:rPr>
        <w:t xml:space="preserve"> - By definition, a study visit will involve travelling to strategic venues of interest that may vary from visits to galleries and museums or course-specific events such as exhibitions, or visits to industry or sites such as ports. They form an essential part of the students learning experience as they provide the opportunity to see examples of design and industry in multiple ‘real-life' contexts.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b/>
          <w:bCs/>
          <w:sz w:val="24"/>
          <w:szCs w:val="24"/>
        </w:rPr>
        <w:t>Briefings</w:t>
      </w:r>
      <w:r w:rsidRPr="2030048C">
        <w:rPr>
          <w:rFonts w:ascii="Arial" w:eastAsia="Arial" w:hAnsi="Arial" w:cs="Arial"/>
          <w:sz w:val="24"/>
          <w:szCs w:val="24"/>
        </w:rPr>
        <w:t xml:space="preserve"> - A briefing takes place to make known and explain specifics of projects; theme, aims &amp; objectives, learning outcomes, timetable etc.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b/>
          <w:bCs/>
          <w:sz w:val="24"/>
          <w:szCs w:val="24"/>
        </w:rPr>
        <w:t>Peer Learning</w:t>
      </w:r>
      <w:r w:rsidRPr="2030048C">
        <w:rPr>
          <w:rFonts w:ascii="Arial" w:eastAsia="Arial" w:hAnsi="Arial" w:cs="Arial"/>
          <w:sz w:val="24"/>
          <w:szCs w:val="24"/>
        </w:rPr>
        <w:t xml:space="preserve"> - The peer learning in a group project enables students to take notice of each other's work and discuss progress and issues informally. Peer learning will also take place through other activity such as group crits and seminars.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b/>
          <w:bCs/>
          <w:sz w:val="24"/>
          <w:szCs w:val="24"/>
        </w:rPr>
        <w:t>Independent Study</w:t>
      </w:r>
      <w:r w:rsidRPr="2030048C">
        <w:rPr>
          <w:rFonts w:ascii="Arial" w:eastAsia="Arial" w:hAnsi="Arial" w:cs="Arial"/>
          <w:sz w:val="24"/>
          <w:szCs w:val="24"/>
        </w:rPr>
        <w:t xml:space="preserve"> - By independent learning, the institute means the following:</w:t>
      </w:r>
    </w:p>
    <w:p w:rsidRPr="2030048C" w:rsidP="2030048C">
      <w:pPr>
        <w:rPr>
          <w:rFonts w:ascii="Arial" w:eastAsia="Arial" w:hAnsi="Arial" w:cs="Arial"/>
          <w:sz w:val="24"/>
          <w:szCs w:val="24"/>
        </w:rPr>
      </w:pPr>
      <w:r w:rsidRPr="2030048C">
        <w:rPr>
          <w:rFonts w:ascii="Arial" w:eastAsia="Arial" w:hAnsi="Arial" w:cs="Arial"/>
          <w:sz w:val="24"/>
          <w:szCs w:val="24"/>
        </w:rPr>
        <w:t>- Each module is divided into contact and non-contact hours with faculty. The independent study comprises the non-contact hours. Independent learning as we see it is also incrementally phased in the programme with students becoming more and more self-dependent in their learning as they make their way up the levels.  </w:t>
      </w:r>
    </w:p>
    <w:p w:rsidRPr="2030048C" w:rsidP="2030048C">
      <w:pPr>
        <w:rPr>
          <w:rFonts w:ascii="Arial" w:eastAsia="Arial" w:hAnsi="Arial" w:cs="Arial"/>
          <w:sz w:val="24"/>
          <w:szCs w:val="24"/>
        </w:rPr>
      </w:pPr>
      <w:r w:rsidRPr="2030048C">
        <w:rPr>
          <w:rFonts w:ascii="Arial" w:eastAsia="Arial" w:hAnsi="Arial" w:cs="Arial"/>
          <w:sz w:val="24"/>
          <w:szCs w:val="24"/>
        </w:rPr>
        <w:t>- We also understand independent learning as being qualitatively different from contact hours with the faculty, in the sense that here the students take a leading role in the learning process.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b/>
          <w:bCs/>
          <w:sz w:val="24"/>
          <w:szCs w:val="24"/>
        </w:rPr>
        <w:t>Research/Professional Practice Informed Teaching</w:t>
      </w:r>
      <w:r w:rsidRPr="2030048C">
        <w:rPr>
          <w:rFonts w:ascii="Arial" w:eastAsia="Arial" w:hAnsi="Arial" w:cs="Arial"/>
          <w:sz w:val="24"/>
          <w:szCs w:val="24"/>
        </w:rPr>
        <w:t xml:space="preserve"> - Research-informed teaching operates throughout the course, with research activities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research process and as such permeate the course.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jc w:val="both"/>
        <w:rPr>
          <w:rFonts w:ascii="Arial" w:eastAsia="Arial" w:hAnsi="Arial" w:cs="Arial"/>
          <w:sz w:val="24"/>
          <w:szCs w:val="24"/>
        </w:rPr>
      </w:pPr>
      <w:r w:rsidRPr="2030048C">
        <w:rPr>
          <w:rFonts w:ascii="Arial" w:eastAsia="Arial" w:hAnsi="Arial" w:cs="Arial"/>
          <w:b/>
          <w:bCs/>
          <w:sz w:val="24"/>
          <w:szCs w:val="24"/>
        </w:rPr>
        <w:t>The Personal Tutor Scheme</w:t>
      </w:r>
    </w:p>
    <w:p w:rsidRPr="2030048C" w:rsidP="2030048C">
      <w:pPr>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Aims of the Institute’s Personal Tutor Scheme:</w:t>
      </w:r>
    </w:p>
    <w:p w:rsidRPr="2030048C" w:rsidP="2030048C">
      <w:pPr>
        <w:numPr>
          <w:ilvl w:val="0"/>
          <w:numId w:val="32"/>
        </w:numPr>
        <w:ind w:left="720" w:right="0" w:hanging="360"/>
        <w:jc w:val="both"/>
        <w:rPr>
          <w:rFonts w:ascii="Arial" w:eastAsia="Arial" w:hAnsi="Arial" w:cs="Arial"/>
          <w:sz w:val="24"/>
          <w:szCs w:val="24"/>
        </w:rPr>
      </w:pPr>
      <w:r w:rsidRPr="2030048C">
        <w:rPr>
          <w:rFonts w:ascii="Arial" w:eastAsia="Arial" w:hAnsi="Arial" w:cs="Arial"/>
          <w:sz w:val="24"/>
          <w:szCs w:val="24"/>
        </w:rPr>
        <w:t>To provide appropriate academic advice and guidance throughout a student’s studies by monitoring progress and identifying individual needs.</w:t>
      </w:r>
    </w:p>
    <w:p w:rsidRPr="2030048C" w:rsidP="2030048C">
      <w:pPr>
        <w:numPr>
          <w:ilvl w:val="0"/>
          <w:numId w:val="32"/>
        </w:numPr>
        <w:ind w:left="720" w:right="0" w:hanging="360"/>
        <w:jc w:val="both"/>
        <w:rPr>
          <w:rFonts w:ascii="Arial" w:eastAsia="Arial" w:hAnsi="Arial" w:cs="Arial"/>
          <w:sz w:val="24"/>
          <w:szCs w:val="24"/>
        </w:rPr>
      </w:pPr>
      <w:r w:rsidRPr="2030048C">
        <w:rPr>
          <w:rFonts w:ascii="Arial" w:eastAsia="Arial" w:hAnsi="Arial" w:cs="Arial"/>
          <w:sz w:val="24"/>
          <w:szCs w:val="24"/>
        </w:rPr>
        <w:t>To provide a holistic overview and guidance for individual study and the development of personal practice.</w:t>
      </w:r>
    </w:p>
    <w:p w:rsidRPr="2030048C" w:rsidP="2030048C">
      <w:pPr>
        <w:numPr>
          <w:ilvl w:val="0"/>
          <w:numId w:val="32"/>
        </w:numPr>
        <w:ind w:left="720" w:right="0" w:hanging="360"/>
        <w:jc w:val="both"/>
        <w:rPr>
          <w:rFonts w:ascii="Arial" w:eastAsia="Arial" w:hAnsi="Arial" w:cs="Arial"/>
          <w:sz w:val="24"/>
          <w:szCs w:val="24"/>
        </w:rPr>
      </w:pPr>
      <w:r w:rsidRPr="2030048C">
        <w:rPr>
          <w:rFonts w:ascii="Arial" w:eastAsia="Arial" w:hAnsi="Arial" w:cs="Arial"/>
          <w:sz w:val="24"/>
          <w:szCs w:val="24"/>
        </w:rPr>
        <w:t>To provide a formalised structure for the on-going process of formative feedback and personal development embedded in studio culture and teaching.</w:t>
      </w:r>
    </w:p>
    <w:p w:rsidRPr="2030048C" w:rsidP="2030048C">
      <w:pPr>
        <w:numPr>
          <w:ilvl w:val="0"/>
          <w:numId w:val="32"/>
        </w:numPr>
        <w:ind w:left="720" w:right="0" w:hanging="360"/>
        <w:jc w:val="both"/>
        <w:rPr>
          <w:rFonts w:ascii="Arial" w:eastAsia="Arial" w:hAnsi="Arial" w:cs="Arial"/>
          <w:sz w:val="24"/>
          <w:szCs w:val="24"/>
        </w:rPr>
      </w:pPr>
      <w:r w:rsidRPr="2030048C">
        <w:rPr>
          <w:rFonts w:ascii="Arial" w:eastAsia="Arial" w:hAnsi="Arial" w:cs="Arial"/>
          <w:sz w:val="24"/>
          <w:szCs w:val="24"/>
        </w:rPr>
        <w:t>To help to develop a student's ability to be self-reliant and reflective and their ability to use feedback/feedforward to best advantage.</w:t>
      </w:r>
    </w:p>
    <w:p w:rsidRPr="2030048C" w:rsidP="2030048C">
      <w:pPr>
        <w:ind w:left="20"/>
        <w:jc w:val="both"/>
        <w:rPr>
          <w:rFonts w:ascii="Arial" w:eastAsia="Arial" w:hAnsi="Arial" w:cs="Arial"/>
          <w:sz w:val="24"/>
          <w:szCs w:val="24"/>
        </w:rPr>
      </w:pPr>
      <w:r w:rsidRPr="2030048C">
        <w:rPr>
          <w:rFonts w:ascii="Arial" w:eastAsia="Arial" w:hAnsi="Arial" w:cs="Arial"/>
          <w:sz w:val="24"/>
          <w:szCs w:val="24"/>
        </w:rPr>
        <w:t>Key Features of the Institute’s Personal Tutor scheme:</w:t>
      </w:r>
    </w:p>
    <w:p w:rsidRPr="2030048C" w:rsidP="2030048C">
      <w:pPr>
        <w:numPr>
          <w:ilvl w:val="0"/>
          <w:numId w:val="33"/>
        </w:numPr>
        <w:ind w:left="720" w:right="0" w:hanging="360"/>
        <w:jc w:val="both"/>
        <w:rPr>
          <w:rFonts w:ascii="Arial" w:eastAsia="Arial" w:hAnsi="Arial" w:cs="Arial"/>
          <w:sz w:val="24"/>
          <w:szCs w:val="24"/>
        </w:rPr>
      </w:pPr>
      <w:r w:rsidRPr="2030048C">
        <w:rPr>
          <w:rFonts w:ascii="Arial" w:eastAsia="Arial" w:hAnsi="Arial" w:cs="Arial"/>
          <w:sz w:val="24"/>
          <w:szCs w:val="24"/>
        </w:rPr>
        <w:t>Personal Tutors will be allocated at the beginning of the academic year.</w:t>
      </w:r>
    </w:p>
    <w:p w:rsidRPr="2030048C" w:rsidP="2030048C">
      <w:pPr>
        <w:numPr>
          <w:ilvl w:val="0"/>
          <w:numId w:val="33"/>
        </w:numPr>
        <w:ind w:left="720" w:right="0" w:hanging="360"/>
        <w:jc w:val="both"/>
        <w:rPr>
          <w:rFonts w:ascii="Arial" w:eastAsia="Arial" w:hAnsi="Arial" w:cs="Arial"/>
          <w:sz w:val="24"/>
          <w:szCs w:val="24"/>
        </w:rPr>
      </w:pPr>
      <w:r w:rsidRPr="2030048C">
        <w:rPr>
          <w:rFonts w:ascii="Arial" w:eastAsia="Arial" w:hAnsi="Arial" w:cs="Arial"/>
          <w:sz w:val="24"/>
          <w:szCs w:val="24"/>
        </w:rPr>
        <w:t>The introductory/welcome tutorial meeting will occur at the beginning of the academic year. Subsequent tutorials will follow and respond to key/stages in the academic year.</w:t>
      </w:r>
    </w:p>
    <w:p w:rsidRPr="2030048C" w:rsidP="2030048C">
      <w:pPr>
        <w:numPr>
          <w:ilvl w:val="0"/>
          <w:numId w:val="33"/>
        </w:numPr>
        <w:ind w:left="720" w:right="0" w:hanging="360"/>
        <w:jc w:val="both"/>
        <w:rPr>
          <w:rFonts w:ascii="Arial" w:eastAsia="Arial" w:hAnsi="Arial" w:cs="Arial"/>
          <w:sz w:val="24"/>
          <w:szCs w:val="24"/>
        </w:rPr>
      </w:pPr>
      <w:r w:rsidRPr="2030048C">
        <w:rPr>
          <w:rFonts w:ascii="Arial" w:eastAsia="Arial" w:hAnsi="Arial" w:cs="Arial"/>
          <w:sz w:val="24"/>
          <w:szCs w:val="24"/>
        </w:rPr>
        <w:t>Students will keep the same personal tutor throughout each year: Level 4, 5, 6.</w:t>
      </w:r>
    </w:p>
    <w:p w:rsidRPr="2030048C" w:rsidP="2030048C">
      <w:pPr>
        <w:numPr>
          <w:ilvl w:val="0"/>
          <w:numId w:val="33"/>
        </w:numPr>
        <w:ind w:left="720" w:right="0" w:hanging="360"/>
        <w:jc w:val="both"/>
        <w:rPr>
          <w:rFonts w:ascii="Arial" w:eastAsia="Arial" w:hAnsi="Arial" w:cs="Arial"/>
          <w:sz w:val="24"/>
          <w:szCs w:val="24"/>
        </w:rPr>
      </w:pPr>
      <w:r w:rsidRPr="2030048C">
        <w:rPr>
          <w:rFonts w:ascii="Arial" w:eastAsia="Arial" w:hAnsi="Arial" w:cs="Arial"/>
          <w:sz w:val="24"/>
          <w:szCs w:val="24"/>
        </w:rPr>
        <w:t>One-to-one meetings will vary in length depending on the profile and needs of individual students.</w:t>
      </w:r>
    </w:p>
    <w:p w:rsidRPr="2030048C" w:rsidP="2030048C">
      <w:pPr>
        <w:ind w:left="40"/>
        <w:jc w:val="both"/>
        <w:rPr>
          <w:rFonts w:ascii="Arial" w:eastAsia="Arial" w:hAnsi="Arial" w:cs="Arial"/>
          <w:sz w:val="24"/>
          <w:szCs w:val="24"/>
        </w:rPr>
      </w:pPr>
      <w:r w:rsidRPr="2030048C">
        <w:rPr>
          <w:rFonts w:ascii="Arial" w:eastAsia="Arial" w:hAnsi="Arial" w:cs="Arial"/>
          <w:sz w:val="24"/>
          <w:szCs w:val="24"/>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rsidRPr="2030048C" w:rsidP="2030048C">
      <w:pPr>
        <w:ind w:left="40"/>
        <w:jc w:val="both"/>
        <w:rPr>
          <w:rFonts w:ascii="Arial" w:eastAsia="Arial" w:hAnsi="Arial" w:cs="Arial"/>
          <w:sz w:val="24"/>
          <w:szCs w:val="24"/>
        </w:rPr>
      </w:pPr>
      <w:r w:rsidRPr="2030048C">
        <w:rPr>
          <w:rFonts w:ascii="Arial" w:eastAsia="Arial" w:hAnsi="Arial" w:cs="Arial"/>
          <w:sz w:val="24"/>
          <w:szCs w:val="24"/>
        </w:rPr>
        <w:t>Level 4:</w:t>
      </w:r>
    </w:p>
    <w:p w:rsidRPr="2030048C" w:rsidP="2030048C">
      <w:pPr>
        <w:numPr>
          <w:ilvl w:val="0"/>
          <w:numId w:val="34"/>
        </w:numPr>
        <w:ind w:left="720" w:right="0" w:hanging="360"/>
        <w:jc w:val="both"/>
        <w:rPr>
          <w:rFonts w:ascii="Arial" w:eastAsia="Arial" w:hAnsi="Arial" w:cs="Arial"/>
          <w:sz w:val="24"/>
          <w:szCs w:val="24"/>
        </w:rPr>
      </w:pPr>
      <w:r w:rsidRPr="2030048C">
        <w:rPr>
          <w:rFonts w:ascii="Arial" w:eastAsia="Arial" w:hAnsi="Arial" w:cs="Arial"/>
          <w:sz w:val="24"/>
          <w:szCs w:val="24"/>
        </w:rPr>
        <w:t>Teaching block 1: minimum of 3 1:1 meeting</w:t>
      </w:r>
    </w:p>
    <w:p w:rsidRPr="2030048C" w:rsidP="2030048C">
      <w:pPr>
        <w:numPr>
          <w:ilvl w:val="0"/>
          <w:numId w:val="34"/>
        </w:numPr>
        <w:ind w:left="720" w:right="0" w:hanging="360"/>
        <w:jc w:val="both"/>
        <w:rPr>
          <w:rFonts w:ascii="Arial" w:eastAsia="Arial" w:hAnsi="Arial" w:cs="Arial"/>
          <w:sz w:val="24"/>
          <w:szCs w:val="24"/>
        </w:rPr>
      </w:pPr>
      <w:r w:rsidRPr="2030048C">
        <w:rPr>
          <w:rFonts w:ascii="Arial" w:eastAsia="Arial" w:hAnsi="Arial" w:cs="Arial"/>
          <w:sz w:val="24"/>
          <w:szCs w:val="24"/>
        </w:rPr>
        <w:t>Teaching block 2: minimum of 2 face-to-face meetings (maybe group or 1:1)</w:t>
      </w:r>
    </w:p>
    <w:p w:rsidRPr="2030048C" w:rsidP="2030048C">
      <w:pPr>
        <w:ind w:left="40"/>
        <w:jc w:val="both"/>
        <w:rPr>
          <w:rFonts w:ascii="Arial" w:eastAsia="Arial" w:hAnsi="Arial" w:cs="Arial"/>
          <w:sz w:val="24"/>
          <w:szCs w:val="24"/>
        </w:rPr>
      </w:pPr>
      <w:r w:rsidRPr="2030048C">
        <w:rPr>
          <w:rFonts w:ascii="Arial" w:eastAsia="Arial" w:hAnsi="Arial" w:cs="Arial"/>
          <w:sz w:val="24"/>
          <w:szCs w:val="24"/>
        </w:rPr>
        <w:t>Level 5:</w:t>
      </w:r>
    </w:p>
    <w:p w:rsidRPr="2030048C" w:rsidP="2030048C">
      <w:pPr>
        <w:numPr>
          <w:ilvl w:val="0"/>
          <w:numId w:val="35"/>
        </w:numPr>
        <w:ind w:left="720" w:right="0" w:hanging="360"/>
        <w:jc w:val="both"/>
        <w:rPr>
          <w:rFonts w:ascii="Arial" w:eastAsia="Arial" w:hAnsi="Arial" w:cs="Arial"/>
          <w:sz w:val="24"/>
          <w:szCs w:val="24"/>
        </w:rPr>
      </w:pPr>
      <w:r w:rsidRPr="2030048C">
        <w:rPr>
          <w:rFonts w:ascii="Arial" w:eastAsia="Arial" w:hAnsi="Arial" w:cs="Arial"/>
          <w:sz w:val="24"/>
          <w:szCs w:val="24"/>
        </w:rPr>
        <w:t>Welcome back and year planning meeting, 1:1</w:t>
      </w:r>
    </w:p>
    <w:p w:rsidRPr="2030048C" w:rsidP="2030048C">
      <w:pPr>
        <w:numPr>
          <w:ilvl w:val="0"/>
          <w:numId w:val="35"/>
        </w:numPr>
        <w:ind w:left="720" w:right="0" w:hanging="360"/>
        <w:jc w:val="both"/>
        <w:rPr>
          <w:rFonts w:ascii="Arial" w:eastAsia="Arial" w:hAnsi="Arial" w:cs="Arial"/>
          <w:sz w:val="24"/>
          <w:szCs w:val="24"/>
        </w:rPr>
      </w:pPr>
      <w:r w:rsidRPr="2030048C">
        <w:rPr>
          <w:rFonts w:ascii="Arial" w:eastAsia="Arial" w:hAnsi="Arial" w:cs="Arial"/>
          <w:sz w:val="24"/>
          <w:szCs w:val="24"/>
        </w:rPr>
        <w:t>End of teaching block 1: email contact or 1:1</w:t>
      </w:r>
    </w:p>
    <w:p w:rsidRPr="2030048C" w:rsidP="2030048C">
      <w:pPr>
        <w:numPr>
          <w:ilvl w:val="0"/>
          <w:numId w:val="35"/>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End of teaching block 2 email or 1:1 </w:t>
      </w:r>
    </w:p>
    <w:p w:rsidRPr="2030048C" w:rsidP="2030048C">
      <w:pPr>
        <w:ind w:left="40"/>
        <w:jc w:val="both"/>
        <w:rPr>
          <w:rFonts w:ascii="Arial" w:eastAsia="Arial" w:hAnsi="Arial" w:cs="Arial"/>
          <w:sz w:val="24"/>
          <w:szCs w:val="24"/>
        </w:rPr>
      </w:pPr>
      <w:r w:rsidRPr="2030048C">
        <w:rPr>
          <w:rFonts w:ascii="Arial" w:eastAsia="Arial" w:hAnsi="Arial" w:cs="Arial"/>
          <w:sz w:val="24"/>
          <w:szCs w:val="24"/>
        </w:rPr>
        <w:t>Level 6:</w:t>
      </w:r>
    </w:p>
    <w:p w:rsidRPr="2030048C" w:rsidP="2030048C">
      <w:pPr>
        <w:numPr>
          <w:ilvl w:val="0"/>
          <w:numId w:val="36"/>
        </w:numPr>
        <w:ind w:left="720" w:right="0" w:hanging="360"/>
        <w:jc w:val="both"/>
        <w:rPr>
          <w:rFonts w:ascii="Arial" w:eastAsia="Arial" w:hAnsi="Arial" w:cs="Arial"/>
          <w:sz w:val="24"/>
          <w:szCs w:val="24"/>
        </w:rPr>
      </w:pPr>
      <w:r w:rsidRPr="2030048C">
        <w:rPr>
          <w:rFonts w:ascii="Arial" w:eastAsia="Arial" w:hAnsi="Arial" w:cs="Arial"/>
          <w:sz w:val="24"/>
          <w:szCs w:val="24"/>
        </w:rPr>
        <w:t>Welcome back and year planning meeting, 1:1</w:t>
      </w:r>
    </w:p>
    <w:p w:rsidRPr="2030048C" w:rsidP="2030048C">
      <w:pPr>
        <w:numPr>
          <w:ilvl w:val="0"/>
          <w:numId w:val="36"/>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End of teaching block 1: email contact or 1:1 </w:t>
      </w:r>
    </w:p>
    <w:p w:rsidRPr="2030048C" w:rsidP="2030048C">
      <w:pPr>
        <w:numPr>
          <w:ilvl w:val="0"/>
          <w:numId w:val="36"/>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End of teaching block 2 email or 1:1 </w:t>
      </w:r>
    </w:p>
    <w:p w:rsidRPr="2030048C" w:rsidP="2030048C">
      <w:pPr>
        <w:ind w:left="40"/>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ind w:left="40"/>
        <w:jc w:val="both"/>
        <w:rPr>
          <w:rFonts w:ascii="Arial" w:eastAsia="Arial" w:hAnsi="Arial" w:cs="Arial"/>
          <w:sz w:val="24"/>
          <w:szCs w:val="24"/>
        </w:rPr>
      </w:pPr>
      <w:r w:rsidRPr="2030048C">
        <w:rPr>
          <w:rFonts w:ascii="Arial" w:eastAsia="Arial" w:hAnsi="Arial" w:cs="Arial"/>
          <w:sz w:val="24"/>
          <w:szCs w:val="24"/>
          <w:u w:val="single"/>
        </w:rPr>
        <w:t xml:space="preserve">IT Lab </w:t>
      </w:r>
    </w:p>
    <w:p w:rsidRPr="2030048C" w:rsidP="2030048C">
      <w:pPr>
        <w:ind w:left="40"/>
        <w:jc w:val="both"/>
        <w:rPr>
          <w:rFonts w:ascii="Arial" w:eastAsia="Arial" w:hAnsi="Arial" w:cs="Arial"/>
          <w:sz w:val="24"/>
          <w:szCs w:val="24"/>
        </w:rPr>
      </w:pPr>
      <w:r w:rsidRPr="2030048C">
        <w:rPr>
          <w:rFonts w:ascii="Arial" w:eastAsia="Arial" w:hAnsi="Arial" w:cs="Arial"/>
          <w:sz w:val="24"/>
          <w:szCs w:val="24"/>
        </w:rPr>
        <w:t>A large no of skill-based courses within IIAD take place in the IT Lab and the studio at the heart of the learning support experience.</w:t>
      </w:r>
      <w:r w:rsidRPr="2030048C">
        <w:rPr>
          <w:rFonts w:ascii="Arial" w:eastAsia="Arial" w:hAnsi="Arial" w:cs="Arial"/>
          <w:sz w:val="24"/>
          <w:szCs w:val="24"/>
        </w:rPr>
        <w:t> </w:t>
      </w:r>
      <w:r w:rsidRPr="2030048C">
        <w:rPr>
          <w:rFonts w:ascii="Arial" w:eastAsia="Arial" w:hAnsi="Arial" w:cs="Arial"/>
          <w:sz w:val="24"/>
          <w:szCs w:val="24"/>
        </w:rPr>
        <w:t xml:space="preserve">Excel-based learning, Statistical Based skills and also Web Designing, E-commerce, In-stores sales CRM solutions are taught in the IT Lab. The studio is used or teaching courses like Fashion Context (especially for fashion forecasting &amp; Range development) which is interdisciplinary by nature. Both of these environments </w:t>
      </w:r>
      <w:r w:rsidRPr="2030048C">
        <w:rPr>
          <w:rFonts w:ascii="Arial" w:eastAsia="Arial" w:hAnsi="Arial" w:cs="Arial"/>
          <w:sz w:val="24"/>
          <w:szCs w:val="24"/>
        </w:rPr>
        <w:t>accommodate 1:1 contact and individual learning.</w:t>
      </w:r>
      <w:r w:rsidRPr="2030048C">
        <w:rPr>
          <w:rFonts w:ascii="Arial" w:eastAsia="Arial" w:hAnsi="Arial" w:cs="Arial"/>
          <w:sz w:val="24"/>
          <w:szCs w:val="24"/>
        </w:rPr>
        <w:t> </w:t>
      </w:r>
      <w:r w:rsidRPr="2030048C">
        <w:rPr>
          <w:rFonts w:ascii="Arial" w:eastAsia="Arial" w:hAnsi="Arial" w:cs="Arial"/>
          <w:sz w:val="24"/>
          <w:szCs w:val="24"/>
        </w:rPr>
        <w:t xml:space="preserve"> A strategic programme of lectures, seminars and workshops supports the It Lab/ studio learning experience.</w:t>
      </w:r>
    </w:p>
    <w:p w:rsidRPr="2030048C" w:rsidP="2030048C">
      <w:pPr>
        <w:ind w:left="40"/>
        <w:jc w:val="both"/>
        <w:rPr>
          <w:rFonts w:ascii="Arial" w:eastAsia="Arial" w:hAnsi="Arial" w:cs="Arial"/>
          <w:sz w:val="24"/>
          <w:szCs w:val="24"/>
        </w:rPr>
      </w:pPr>
      <w:r w:rsidRPr="2030048C">
        <w:rPr>
          <w:rFonts w:ascii="Arial" w:eastAsia="Arial" w:hAnsi="Arial" w:cs="Arial"/>
          <w:sz w:val="24"/>
          <w:szCs w:val="24"/>
          <w:u w:val="single"/>
        </w:rPr>
        <w:t>Workshop Structure</w:t>
      </w:r>
    </w:p>
    <w:p w:rsidRPr="2030048C" w:rsidP="2030048C">
      <w:pPr>
        <w:pStyle w:val="NormalWeb"/>
        <w:ind w:left="40"/>
        <w:jc w:val="both"/>
        <w:rPr>
          <w:rFonts w:ascii="Arial" w:eastAsia="Arial" w:hAnsi="Arial" w:cs="Arial"/>
          <w:sz w:val="24"/>
          <w:szCs w:val="24"/>
        </w:rPr>
      </w:pPr>
      <w:r w:rsidRPr="2030048C">
        <w:rPr>
          <w:rFonts w:ascii="Arial" w:eastAsia="Arial" w:hAnsi="Arial" w:cs="Arial"/>
          <w:sz w:val="24"/>
          <w:szCs w:val="24"/>
        </w:rPr>
        <w:t xml:space="preserve">The diverse range of workshop spaces provides an integral resource to support Skill-based Personal and Professional Development. They are in addition to the IT Labs/studio space and are equipped with particular, specialist facilities/ technical support for all programmes. Discipline-specific workshops support the students learn raw material and technical requirements like product quality. </w:t>
      </w:r>
    </w:p>
    <w:p w:rsidRPr="2030048C" w:rsidP="2030048C">
      <w:pPr>
        <w:ind w:left="40"/>
        <w:jc w:val="both"/>
        <w:rPr>
          <w:rFonts w:ascii="Arial" w:eastAsia="Arial" w:hAnsi="Arial" w:cs="Arial"/>
          <w:sz w:val="24"/>
          <w:szCs w:val="24"/>
        </w:rPr>
      </w:pPr>
      <w:r w:rsidRPr="2030048C">
        <w:rPr>
          <w:rFonts w:ascii="Arial" w:eastAsia="Arial" w:hAnsi="Arial" w:cs="Arial"/>
          <w:sz w:val="24"/>
          <w:szCs w:val="24"/>
          <w:u w:val="single"/>
        </w:rPr>
        <w:t>Staff Structure</w:t>
      </w:r>
      <w:r w:rsidRPr="2030048C">
        <w:rPr>
          <w:rFonts w:ascii="Arial" w:eastAsia="Arial" w:hAnsi="Arial" w:cs="Arial"/>
          <w:sz w:val="24"/>
          <w:szCs w:val="24"/>
        </w:rPr>
        <w:t> </w:t>
      </w:r>
    </w:p>
    <w:p w:rsidRPr="2030048C" w:rsidP="2030048C">
      <w:pPr>
        <w:ind w:left="40"/>
        <w:jc w:val="both"/>
        <w:rPr>
          <w:rFonts w:ascii="Arial" w:eastAsia="Arial" w:hAnsi="Arial" w:cs="Arial"/>
          <w:sz w:val="24"/>
          <w:szCs w:val="24"/>
        </w:rPr>
      </w:pPr>
      <w:r w:rsidRPr="2030048C">
        <w:rPr>
          <w:rFonts w:ascii="Arial" w:eastAsia="Arial" w:hAnsi="Arial" w:cs="Arial"/>
          <w:sz w:val="24"/>
          <w:szCs w:val="24"/>
        </w:rPr>
        <w:t>Course leaders coordinate all levels within a course. Undergraduate courses have individual level leaders who provide a consistent point of student contact. They are operational figureheads who work together with staff teams and adjunct faculty (incorporating Module Leaders) to deliver the appropriate learning and teaching experience.</w:t>
      </w:r>
      <w:r w:rsidRPr="2030048C">
        <w:rPr>
          <w:rFonts w:ascii="Arial" w:eastAsia="Arial" w:hAnsi="Arial" w:cs="Arial"/>
          <w:sz w:val="24"/>
          <w:szCs w:val="24"/>
        </w:rPr>
        <w:t> </w:t>
      </w:r>
      <w:r w:rsidRPr="2030048C">
        <w:rPr>
          <w:rFonts w:ascii="Arial" w:eastAsia="Arial" w:hAnsi="Arial" w:cs="Arial"/>
          <w:sz w:val="24"/>
          <w:szCs w:val="24"/>
        </w:rPr>
        <w:t xml:space="preserve"> Staff</w:t>
      </w:r>
      <w:r w:rsidRPr="2030048C">
        <w:rPr>
          <w:rFonts w:ascii="Arial" w:eastAsia="Arial" w:hAnsi="Arial" w:cs="Arial"/>
          <w:color w:val="FF0000"/>
          <w:sz w:val="24"/>
          <w:szCs w:val="24"/>
        </w:rPr>
        <w:t xml:space="preserve"> </w:t>
      </w:r>
      <w:r w:rsidRPr="2030048C">
        <w:rPr>
          <w:rFonts w:ascii="Arial" w:eastAsia="Arial" w:hAnsi="Arial" w:cs="Arial"/>
          <w:sz w:val="24"/>
          <w:szCs w:val="24"/>
        </w:rPr>
        <w:t>mediate this experience across each level or stage of a course, moving from an explicit to implicit role in students’ development, enabling students to learn how to learn and become more progressively independent. Dedicated technical instructors provide workshop space learning support in conjunction with the academic staff teams.</w:t>
      </w:r>
    </w:p>
    <w:p w:rsidRPr="2030048C" w:rsidP="2030048C">
      <w:pPr>
        <w:ind w:left="40"/>
        <w:jc w:val="both"/>
        <w:rPr>
          <w:rFonts w:ascii="Arial" w:eastAsia="Arial" w:hAnsi="Arial" w:cs="Arial"/>
          <w:sz w:val="24"/>
          <w:szCs w:val="24"/>
        </w:rPr>
      </w:pPr>
      <w:r w:rsidRPr="2030048C">
        <w:rPr>
          <w:rFonts w:ascii="Arial" w:eastAsia="Arial" w:hAnsi="Arial" w:cs="Arial"/>
          <w:sz w:val="24"/>
          <w:szCs w:val="24"/>
          <w:u w:val="single"/>
        </w:rPr>
        <w:t xml:space="preserve">Student Project Poster Exhibitions </w:t>
      </w:r>
    </w:p>
    <w:p w:rsidRPr="2030048C" w:rsidP="2030048C">
      <w:pPr>
        <w:ind w:left="40"/>
        <w:jc w:val="both"/>
        <w:rPr>
          <w:rFonts w:ascii="Arial" w:eastAsia="Arial" w:hAnsi="Arial" w:cs="Arial"/>
          <w:sz w:val="24"/>
          <w:szCs w:val="24"/>
        </w:rPr>
      </w:pPr>
      <w:r w:rsidRPr="2030048C">
        <w:rPr>
          <w:rFonts w:ascii="Arial" w:eastAsia="Arial" w:hAnsi="Arial" w:cs="Arial"/>
          <w:sz w:val="24"/>
          <w:szCs w:val="24"/>
        </w:rPr>
        <w:t xml:space="preserve">Poster exhibitions </w:t>
      </w:r>
      <w:r w:rsidRPr="2030048C">
        <w:rPr>
          <w:rFonts w:ascii="Arial" w:eastAsia="Arial" w:hAnsi="Arial" w:cs="Arial"/>
          <w:sz w:val="24"/>
          <w:szCs w:val="24"/>
        </w:rPr>
        <w:t>are conceived to enable students to demonstrate critical self-selection and creative ambition concerning a strategically acknowledged graduate or professional audience or sector. At the end of Level 6, it reflects the individual student's highest achievement after the course.</w:t>
      </w:r>
    </w:p>
    <w:p w:rsidRPr="2030048C" w:rsidP="2030048C">
      <w:pPr>
        <w:ind w:left="40"/>
        <w:jc w:val="both"/>
        <w:rPr>
          <w:rFonts w:ascii="Arial" w:eastAsia="Arial" w:hAnsi="Arial" w:cs="Arial"/>
          <w:sz w:val="24"/>
          <w:szCs w:val="24"/>
        </w:rPr>
      </w:pPr>
      <w:r w:rsidRPr="2030048C">
        <w:rPr>
          <w:rFonts w:ascii="Arial" w:eastAsia="Arial" w:hAnsi="Arial" w:cs="Arial"/>
          <w:sz w:val="24"/>
          <w:szCs w:val="24"/>
          <w:u w:val="single"/>
        </w:rPr>
        <w:t>Infrastructure</w:t>
      </w:r>
    </w:p>
    <w:p w:rsidRPr="2030048C" w:rsidP="2030048C">
      <w:pPr>
        <w:ind w:left="40"/>
        <w:jc w:val="both"/>
        <w:rPr>
          <w:rFonts w:ascii="Arial" w:eastAsia="Arial" w:hAnsi="Arial" w:cs="Arial"/>
          <w:sz w:val="24"/>
          <w:szCs w:val="24"/>
        </w:rPr>
      </w:pPr>
      <w:r w:rsidRPr="2030048C">
        <w:rPr>
          <w:rFonts w:ascii="Arial" w:eastAsia="Arial" w:hAnsi="Arial" w:cs="Arial"/>
          <w:sz w:val="24"/>
          <w:szCs w:val="24"/>
        </w:rPr>
        <w:t>The Institute adopts an infrastructure of learning support means beyond the immediacy of academic courses.</w:t>
      </w:r>
      <w:r w:rsidRPr="2030048C">
        <w:rPr>
          <w:rFonts w:ascii="Arial" w:eastAsia="Arial" w:hAnsi="Arial" w:cs="Arial"/>
          <w:sz w:val="24"/>
          <w:szCs w:val="24"/>
        </w:rPr>
        <w:t> </w:t>
      </w:r>
      <w:r w:rsidRPr="2030048C">
        <w:rPr>
          <w:rFonts w:ascii="Arial" w:eastAsia="Arial" w:hAnsi="Arial" w:cs="Arial"/>
          <w:sz w:val="24"/>
          <w:szCs w:val="24"/>
        </w:rPr>
        <w:t xml:space="preserve"> These broadly divide into key mechanisms and enhancement opportunities, including:</w:t>
      </w:r>
    </w:p>
    <w:p w:rsidRPr="2030048C" w:rsidP="2030048C">
      <w:pPr>
        <w:numPr>
          <w:ilvl w:val="0"/>
          <w:numId w:val="37"/>
        </w:numPr>
        <w:ind w:left="720" w:right="0" w:hanging="360"/>
        <w:jc w:val="both"/>
        <w:rPr>
          <w:rFonts w:ascii="Arial" w:eastAsia="Arial" w:hAnsi="Arial" w:cs="Arial"/>
          <w:sz w:val="24"/>
          <w:szCs w:val="24"/>
        </w:rPr>
      </w:pPr>
      <w:r w:rsidRPr="2030048C">
        <w:rPr>
          <w:rFonts w:ascii="Arial" w:eastAsia="Arial" w:hAnsi="Arial" w:cs="Arial"/>
          <w:sz w:val="24"/>
          <w:szCs w:val="24"/>
        </w:rPr>
        <w:t>Student Office with a dedicated Administrator</w:t>
      </w:r>
    </w:p>
    <w:p w:rsidRPr="2030048C" w:rsidP="2030048C">
      <w:pPr>
        <w:numPr>
          <w:ilvl w:val="0"/>
          <w:numId w:val="37"/>
        </w:numPr>
        <w:ind w:left="720" w:right="0" w:hanging="360"/>
        <w:jc w:val="both"/>
        <w:rPr>
          <w:rFonts w:ascii="Arial" w:eastAsia="Arial" w:hAnsi="Arial" w:cs="Arial"/>
          <w:sz w:val="24"/>
          <w:szCs w:val="24"/>
        </w:rPr>
      </w:pPr>
      <w:r w:rsidRPr="2030048C">
        <w:rPr>
          <w:rFonts w:ascii="Arial" w:eastAsia="Arial" w:hAnsi="Arial" w:cs="Arial"/>
          <w:sz w:val="24"/>
          <w:szCs w:val="24"/>
        </w:rPr>
        <w:t>Non-Academic Student Support Counsellor</w:t>
      </w:r>
    </w:p>
    <w:p w:rsidRPr="2030048C" w:rsidP="2030048C">
      <w:pPr>
        <w:numPr>
          <w:ilvl w:val="0"/>
          <w:numId w:val="37"/>
        </w:numPr>
        <w:ind w:left="720" w:right="0" w:hanging="360"/>
        <w:jc w:val="both"/>
        <w:rPr>
          <w:rFonts w:ascii="Arial" w:eastAsia="Arial" w:hAnsi="Arial" w:cs="Arial"/>
          <w:sz w:val="24"/>
          <w:szCs w:val="24"/>
        </w:rPr>
      </w:pPr>
      <w:r w:rsidRPr="2030048C">
        <w:rPr>
          <w:rFonts w:ascii="Arial" w:eastAsia="Arial" w:hAnsi="Arial" w:cs="Arial"/>
          <w:sz w:val="24"/>
          <w:szCs w:val="24"/>
        </w:rPr>
        <w:t>RPL (Recognition of Prior Learning) processes</w:t>
      </w:r>
    </w:p>
    <w:p w:rsidRPr="2030048C" w:rsidP="2030048C">
      <w:pPr>
        <w:numPr>
          <w:ilvl w:val="0"/>
          <w:numId w:val="37"/>
        </w:numPr>
        <w:ind w:left="720" w:right="0" w:hanging="360"/>
        <w:jc w:val="both"/>
        <w:rPr>
          <w:rFonts w:ascii="Arial" w:eastAsia="Arial" w:hAnsi="Arial" w:cs="Arial"/>
          <w:sz w:val="24"/>
          <w:szCs w:val="24"/>
        </w:rPr>
      </w:pPr>
      <w:r w:rsidRPr="2030048C">
        <w:rPr>
          <w:rFonts w:ascii="Arial" w:eastAsia="Arial" w:hAnsi="Arial" w:cs="Arial"/>
          <w:sz w:val="24"/>
          <w:szCs w:val="24"/>
        </w:rPr>
        <w:t>Staff/Student Consultative Committee. (SSCC)</w:t>
      </w:r>
    </w:p>
    <w:p w:rsidRPr="2030048C" w:rsidP="2030048C">
      <w:pPr>
        <w:numPr>
          <w:ilvl w:val="0"/>
          <w:numId w:val="37"/>
        </w:numPr>
        <w:ind w:left="720" w:right="0" w:hanging="360"/>
        <w:jc w:val="both"/>
        <w:rPr>
          <w:rFonts w:ascii="Arial" w:eastAsia="Arial" w:hAnsi="Arial" w:cs="Arial"/>
          <w:sz w:val="24"/>
          <w:szCs w:val="24"/>
        </w:rPr>
      </w:pPr>
      <w:r w:rsidRPr="2030048C">
        <w:rPr>
          <w:rFonts w:ascii="Arial" w:eastAsia="Arial" w:hAnsi="Arial" w:cs="Arial"/>
          <w:sz w:val="24"/>
          <w:szCs w:val="24"/>
        </w:rPr>
        <w:t>Board of Study (BOS)</w:t>
      </w:r>
    </w:p>
    <w:p w:rsidRPr="2030048C" w:rsidP="2030048C">
      <w:pPr>
        <w:numPr>
          <w:ilvl w:val="0"/>
          <w:numId w:val="37"/>
        </w:numPr>
        <w:ind w:left="720" w:right="0" w:hanging="360"/>
        <w:jc w:val="both"/>
        <w:rPr>
          <w:rFonts w:ascii="Arial" w:eastAsia="Arial" w:hAnsi="Arial" w:cs="Arial"/>
          <w:sz w:val="24"/>
          <w:szCs w:val="24"/>
        </w:rPr>
      </w:pPr>
      <w:r w:rsidRPr="2030048C">
        <w:rPr>
          <w:rFonts w:ascii="Arial" w:eastAsia="Arial" w:hAnsi="Arial" w:cs="Arial"/>
          <w:sz w:val="24"/>
          <w:szCs w:val="24"/>
        </w:rPr>
        <w:t>Information on Scholarships</w:t>
      </w:r>
    </w:p>
    <w:p w:rsidRPr="2030048C" w:rsidP="2030048C">
      <w:pPr>
        <w:numPr>
          <w:ilvl w:val="0"/>
          <w:numId w:val="37"/>
        </w:numPr>
        <w:ind w:left="720" w:right="0" w:hanging="360"/>
        <w:jc w:val="both"/>
        <w:rPr>
          <w:rFonts w:ascii="Arial" w:eastAsia="Arial" w:hAnsi="Arial" w:cs="Arial"/>
          <w:sz w:val="24"/>
          <w:szCs w:val="24"/>
        </w:rPr>
      </w:pPr>
      <w:r w:rsidRPr="2030048C">
        <w:rPr>
          <w:rFonts w:ascii="Arial" w:eastAsia="Arial" w:hAnsi="Arial" w:cs="Arial"/>
          <w:sz w:val="24"/>
          <w:szCs w:val="24"/>
        </w:rPr>
        <w:t>Language Support for local students</w:t>
      </w:r>
    </w:p>
    <w:p w:rsidRPr="2030048C" w:rsidP="2030048C">
      <w:pPr>
        <w:numPr>
          <w:ilvl w:val="0"/>
          <w:numId w:val="37"/>
        </w:numPr>
        <w:ind w:left="720" w:right="0" w:hanging="360"/>
        <w:jc w:val="both"/>
        <w:rPr>
          <w:rFonts w:ascii="Arial" w:eastAsia="Arial" w:hAnsi="Arial" w:cs="Arial"/>
          <w:sz w:val="24"/>
          <w:szCs w:val="24"/>
        </w:rPr>
      </w:pPr>
      <w:r w:rsidRPr="2030048C">
        <w:rPr>
          <w:rFonts w:ascii="Arial" w:eastAsia="Arial" w:hAnsi="Arial" w:cs="Arial"/>
          <w:sz w:val="24"/>
          <w:szCs w:val="24"/>
        </w:rPr>
        <w:t>Information Services, including the Library Resources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External </w:t>
      </w:r>
      <w:r w:rsidRPr="2030048C">
        <w:rPr>
          <w:rFonts w:ascii="Arial" w:eastAsia="Arial" w:hAnsi="Arial" w:cs="Arial"/>
          <w:sz w:val="24"/>
          <w:szCs w:val="24"/>
        </w:rPr>
        <w:t>Examiners</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Student evaluation including MEQs, Level Surveys and the NSS</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Professionally active and academically qualified staff</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Staff links with industry and organisations</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Feedback from the advisory board</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Feedback from industry through internships</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Annual staff appraisals to identify staff development/training opportunities</w:t>
      </w:r>
    </w:p>
    <w:p w:rsidR="3D0EBCB8" w:rsidRPr="2030048C" w:rsidP="2030048C">
      <w:pPr>
        <w:numPr>
          <w:ilvl w:val="0"/>
          <w:numId w:val="3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Liaison Officer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PSRB standards</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QAA Subject benchmarks</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Apprenticeship standards</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561"/>
        <w:gridCol w:w="327"/>
        <w:gridCol w:w="647"/>
        <w:gridCol w:w="647"/>
        <w:gridCol w:w="647"/>
        <w:gridCol w:w="647"/>
        <w:gridCol w:w="2"/>
        <w:gridCol w:w="645"/>
        <w:gridCol w:w="647"/>
        <w:gridCol w:w="647"/>
        <w:gridCol w:w="647"/>
        <w:gridCol w:w="4"/>
        <w:gridCol w:w="643"/>
        <w:gridCol w:w="647"/>
        <w:gridCol w:w="65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II4103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II4102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II4104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II5103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II5102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II5104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II6103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II6102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_0"/>
    <w:basedOn w:val="ListParagraph"/>
  </w:style>
  <w:style w:type="paragraph" w:customStyle="1" w:styleId="ListParagraph0">
    <w:name w:val="ListParagraph"/>
    <w:basedOn w:val="ListParagraph"/>
    <w:rPr>
      <w:rFonts w:ascii="Calibri" w:eastAsia="Calibri" w:hAnsi="Calibri" w:cs="Calibri"/>
      <w:sz w:val="22"/>
      <w:szCs w:val="22"/>
    </w:rPr>
  </w:style>
  <w:style w:type="paragraph" w:customStyle="1" w:styleId="HTMLPreformatted">
    <w:name w:val="HTMLPreformatted"/>
    <w:basedOn w:val="Normal"/>
  </w:style>
  <w:style w:type="character" w:customStyle="1" w:styleId="A0">
    <w:name w:val="A0"/>
    <w:basedOn w:val="DefaultParagraphFont"/>
  </w:style>
  <w:style w:type="paragraph" w:customStyle="1" w:styleId="NormalWeb">
    <w:name w:val="NormalWeb"/>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9F24496-04A6-4EEC-928F-36846860106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