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Art Foundation Year</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 Shanghai</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23/10/2024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22/01/2026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Arts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Fine Art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Pinguan Shengshi (Shanghai) Culture and Art Co. Ltd. (PYSS), China</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Art Foundation Year</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 Shanghai</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ufafs1afs97</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Pinguan Shengshi (Shanghai) Culture and Art Co. Ltd. (PYSS), China</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Ping Yuan Shen Shi Shanghai (PYSS)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 Year</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i/>
                <w:iCs/>
                <w:color w:val="000000"/>
                <w:sz w:val="24"/>
                <w:szCs w:val="24"/>
                <w:shd w:val="clear" w:color="auto" w:fill="FFFFFF"/>
              </w:rPr>
              <w:t>The minimum entry qualifications for the programme are:</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11 or 12 years of schooling at secondary or equivalent in China, Minimum age on entry 16.</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a portfolio demonstrating creative potential appropriate to the individuals’ prior learning experience or pass the interview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i/>
                <w:iCs/>
                <w:color w:val="000000"/>
                <w:sz w:val="24"/>
                <w:szCs w:val="24"/>
                <w:shd w:val="clear" w:color="auto" w:fill="FFFFFF"/>
              </w:rPr>
              <w:t xml:space="preserve">Minimum English language requirements: </w:t>
            </w:r>
            <w:r w:rsidRPr="2030048C">
              <w:rPr>
                <w:rStyle w:val="normaltextrun"/>
                <w:rFonts w:ascii="Arial" w:eastAsia="Arial" w:hAnsi="Arial" w:cs="Arial"/>
                <w:b w:val="0"/>
                <w:bCs w:val="0"/>
                <w:color w:val="000000"/>
                <w:sz w:val="24"/>
                <w:szCs w:val="24"/>
                <w:shd w:val="clear" w:color="auto" w:fill="FFFFFF"/>
              </w:rPr>
              <w:t xml:space="preserve">IELTS 5.0 (with the minimum of 4.5 in each component) or pass PYSS English entrance examination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i/>
                <w:iCs/>
                <w:color w:val="000000"/>
                <w:sz w:val="24"/>
                <w:szCs w:val="24"/>
                <w:shd w:val="clear" w:color="auto" w:fill="FFFFFF"/>
              </w:rPr>
              <w:t>The minimum entry qualifications for the programme are:</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11 or 12 years of schooling at secondary or equivalent in China, Minimum age on entry 16.</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a portfolio demonstrating creative potential appropriate to the individuals’ prior learning experience or pass the interview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i/>
                <w:iCs/>
                <w:color w:val="000000"/>
                <w:sz w:val="24"/>
                <w:szCs w:val="24"/>
                <w:shd w:val="clear" w:color="auto" w:fill="FFFFFF"/>
              </w:rPr>
              <w:t xml:space="preserve">Minimum English language requirements: </w:t>
            </w:r>
            <w:r w:rsidRPr="2030048C">
              <w:rPr>
                <w:rStyle w:val="normaltextrun"/>
                <w:rFonts w:ascii="Arial" w:eastAsia="Arial" w:hAnsi="Arial" w:cs="Arial"/>
                <w:b w:val="0"/>
                <w:bCs w:val="0"/>
                <w:color w:val="000000"/>
                <w:sz w:val="24"/>
                <w:szCs w:val="24"/>
                <w:shd w:val="clear" w:color="auto" w:fill="FFFFFF"/>
              </w:rPr>
              <w:t xml:space="preserve">IELTS 5.0 (with the minimum of 4.5 in each component) or pass PYSS English entrance examination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 current KU Academic framework stipulates that “Undergraduate levels 3 and 4 – all modules must be long-thin and 30 credits".</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 approval was given that three modules can be run in a block arrangement and the course structure will run as presented below:</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drawing>
                <wp:inline>
                  <wp:extent cx="7200900" cy="2609850"/>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9"/>
                          <a:stretch>
                            <a:fillRect/>
                          </a:stretch>
                        </pic:blipFill>
                        <pic:spPr>
                          <a:xfrm>
                            <a:off x="0" y="0"/>
                            <a:ext cx="7200900" cy="2609850"/>
                          </a:xfrm>
                          <a:prstGeom prst="rect">
                            <a:avLst/>
                          </a:prstGeom>
                        </pic:spPr>
                      </pic:pic>
                    </a:graphicData>
                  </a:graphic>
                </wp:inline>
              </w:drawing>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Develop and apply Art, Design and Media subject English Language and Study Skills to ensure that students are ready for undergraduate study in the UK</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Develop Critical and Contextual awareness of international contemporary and historical contexts and theoretical debates in Art, Design and Media.</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Provide continuous and progressive diagnostic context to enable the identification of strengths and subject specialist direction through exploring practical skills and theoretical concepts.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Develop research and analytical skills for ideas generation and finding solutions.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Raise the awareness of future skills, sustainability, and social responsibility of the global citizens through creative practice</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0"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1"/>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Demonstrate an understanding of the basic elements and principals of visual language and use observational and conceptual drawing and recording skills.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critically on the development of creative practice, devising appropriate quality solutions and learn how to develop ideas.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Safely use a range of media and techniques for creative practice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language and study skills to become confident and independent learners at a level appropriate for academic study at the degree level.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 practical, theoretical, research and technical understanding to solve problems and develop solutions for your specialist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ideas appropriately in English using all 4 language skills of reading, writing, listening and speaking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theoretical and cultural context of art, design and media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primary and secondary research independently and develop a range of transferable skills in communication, problem-solving, empathy and presentation skills.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Create appropriate creative outputs of specialist discipline demonstrating research and critical reflection.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Embed sustainability and global citizen attributes in students creative thinking and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be an independent learner and embody a culture of continual personal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Produce and curate a final major project in 2-D or 3-D format that is the result of varied experimentation with academic research.</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 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The Foundation in Art Design and Media is comprised of level 3 credits awarded within the scope of the University’s Common Credit Framework but does not sit within the Framework for Higher Education Qualifications.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A certificate of completion and a transcript is awarded to students upon successful completion of 120 level 3 credits.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Art Foundation Year</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 Shanghai</w:t>
      </w:r>
    </w:p>
    <w:p w:rsidR="008B5CAF" w:rsidRPr="008B5CAF" w:rsidP="008B5CAF" w14:paraId="22073769" w14:textId="77777777">
      <w:pPr>
        <w:rPr>
          <w:rFonts w:eastAsia="Arial"/>
        </w:rPr>
      </w:pPr>
    </w:p>
    <w:p w:rsidR="035B6837" w:rsidP="2030048C" w14:paraId="195B052D" w14:textId="16FF98F4">
      <w:pPr>
        <w:rPr>
          <w:rFonts w:ascii="Arial" w:eastAsia="Arial" w:hAnsi="Arial" w:cs="Arial"/>
          <w:color w:val="FF0000"/>
          <w:sz w:val="22"/>
          <w:szCs w:val="22"/>
          <w:lang w:val="en-GB"/>
        </w:rPr>
      </w:pPr>
    </w:p>
    <w:tbl>
      <w:tblPr>
        <w:tblW w:w="9133"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733"/>
        <w:gridCol w:w="1305"/>
        <w:gridCol w:w="1623"/>
        <w:gridCol w:w="765"/>
        <w:gridCol w:w="795"/>
      </w:tblGrid>
      <w:tr w14:paraId="062AECAD"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3A510DD" w14:textId="516E63D9">
            <w:pPr>
              <w:rPr>
                <w:rFonts w:ascii="Arial" w:eastAsia="Arial" w:hAnsi="Arial" w:cs="Arial"/>
                <w:sz w:val="24"/>
                <w:szCs w:val="24"/>
              </w:rPr>
            </w:pPr>
            <w:r w:rsidRPr="540725A5" w:rsidR="073AEBF5">
              <w:rPr>
                <w:rFonts w:ascii="Arial" w:eastAsia="Arial" w:hAnsi="Arial" w:cs="Arial"/>
                <w:b/>
                <w:bCs/>
                <w:sz w:val="24"/>
                <w:szCs w:val="24"/>
              </w:rPr>
              <w:t>Level 3</w:t>
            </w:r>
          </w:p>
        </w:tc>
      </w:tr>
      <w:tr w14:paraId="130F3C29"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13C7877" w14:textId="143DB801">
            <w:pPr>
              <w:rPr>
                <w:rFonts w:ascii="Arial" w:eastAsia="Arial" w:hAnsi="Arial" w:cs="Arial"/>
                <w:sz w:val="24"/>
                <w:szCs w:val="24"/>
                <w:lang w:val="en-GB"/>
              </w:rPr>
            </w:pPr>
            <w:r w:rsidRPr="2030048C" w:rsidR="073AEBF5">
              <w:rPr>
                <w:rFonts w:ascii="Arial" w:eastAsia="Arial" w:hAnsi="Arial" w:cs="Arial"/>
                <w:b/>
                <w:bCs/>
                <w:sz w:val="24"/>
                <w:szCs w:val="24"/>
                <w:lang w:val="en-GB"/>
              </w:rPr>
              <w:t>Art Foundation Year</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 Shanghai</w:t>
            </w:r>
          </w:p>
        </w:tc>
      </w:tr>
      <w:tr w14:paraId="391AAB5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857E6F1" w14:textId="5E92D1A0">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912B707" w14:textId="1CCCAF11">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61148C" w14:textId="6A900F43">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64CE928A" w14:textId="621FC4AE">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73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8C22397" w14:textId="7A089F7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30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9A4F69" w14:textId="157D9FD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6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5016C82" w14:textId="56A40D1F">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7336DA" w14:textId="0393FB83">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3B77BB" w14:textId="1DA07574">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39E36728"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381FE6D" w14:textId="0CD33AE0">
            <w:pPr>
              <w:rPr>
                <w:rFonts w:ascii="Arial" w:eastAsia="Arial" w:hAnsi="Arial" w:cs="Arial"/>
                <w:sz w:val="24"/>
                <w:szCs w:val="24"/>
                <w:lang w:val="en-GB"/>
              </w:rPr>
            </w:pPr>
            <w:r w:rsidRPr="2030048C" w:rsidR="073AEBF5">
              <w:rPr>
                <w:rFonts w:ascii="Arial" w:eastAsia="Arial" w:hAnsi="Arial" w:cs="Arial"/>
                <w:sz w:val="24"/>
                <w:szCs w:val="24"/>
                <w:lang w:val="en-GB"/>
              </w:rPr>
              <w:t>Developing English Language and Study Skills alongside Creative Practices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38ACB0"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DS3002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AC3A606"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1E8BAF"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BB7AB"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4E0C8" w14:textId="70BC9499">
            <w:pPr>
              <w:jc w:val="center"/>
              <w:rPr>
                <w:rFonts w:ascii="Arial" w:eastAsia="Arial" w:hAnsi="Arial" w:cs="Arial"/>
                <w:sz w:val="24"/>
                <w:szCs w:val="24"/>
                <w:lang w:val="en-GB"/>
              </w:rPr>
            </w:pPr>
            <w:r w:rsidRPr="2030048C" w:rsidR="073AEBF5">
              <w:rPr>
                <w:rFonts w:ascii="Arial" w:eastAsia="Arial" w:hAnsi="Arial" w:cs="Arial"/>
                <w:sz w:val="24"/>
                <w:szCs w:val="24"/>
              </w:rPr>
              <w:t>N/A</w:t>
            </w: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D983C6B"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1768154D" w14:textId="0886C6F6">
            <w:pPr>
              <w:pStyle w:val="paragraph"/>
              <w:spacing w:before="0" w:beforeAutospacing="0" w:after="0" w:afterAutospacing="0"/>
              <w:jc w:val="center"/>
              <w:rPr>
                <w:rFonts w:ascii="Arial" w:eastAsia="Arial" w:hAnsi="Arial" w:cs="Arial"/>
                <w:sz w:val="24"/>
                <w:szCs w:val="24"/>
              </w:rPr>
            </w:pPr>
          </w:p>
        </w:tc>
      </w:tr>
      <w:tr w14:paraId="39E3672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Final Major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DS3004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r w:rsidRPr="2030048C" w:rsidR="073AEBF5">
              <w:rPr>
                <w:rFonts w:ascii="Arial" w:eastAsia="Arial" w:hAnsi="Arial" w:cs="Arial"/>
                <w:sz w:val="24"/>
                <w:szCs w:val="24"/>
              </w:rPr>
              <w:t>N/A</w:t>
            </w: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r w14:paraId="39E3672A"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Introduction to Art, Design and Media</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DS3001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r w:rsidRPr="2030048C" w:rsidR="073AEBF5">
              <w:rPr>
                <w:rFonts w:ascii="Arial" w:eastAsia="Arial" w:hAnsi="Arial" w:cs="Arial"/>
                <w:sz w:val="24"/>
                <w:szCs w:val="24"/>
              </w:rPr>
              <w:t>N/A</w:t>
            </w: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r w14:paraId="39E3672B"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Investigating Specialist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DS3003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TB 1&amp; 2</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r w:rsidRPr="2030048C" w:rsidR="073AEBF5">
              <w:rPr>
                <w:rFonts w:ascii="Arial" w:eastAsia="Arial" w:hAnsi="Arial" w:cs="Arial"/>
                <w:sz w:val="24"/>
                <w:szCs w:val="24"/>
              </w:rPr>
              <w:t>N/A</w:t>
            </w: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bl>
    <w:p w:rsidR="66934EB1" w:rsidP="540725A5" w14:paraId="5CE98984" w14:textId="2D2F3ED7">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color w:val="000000"/>
          <w:sz w:val="24"/>
          <w:szCs w:val="24"/>
          <w:u w:val="single"/>
        </w:rPr>
        <w:t>Learning and Teaching Strategy</w:t>
      </w:r>
      <w:r w:rsidRPr="2030048C">
        <w:rPr>
          <w:rFonts w:ascii="Arial" w:eastAsia="Arial" w:hAnsi="Arial" w:cs="Arial"/>
          <w:color w:val="000000"/>
          <w:sz w:val="24"/>
          <w:szCs w:val="24"/>
        </w:rPr>
        <w:t xml:space="preserve"> (of the course)</w:t>
      </w:r>
    </w:p>
    <w:p w:rsidRPr="2030048C" w:rsidP="2030048C">
      <w:pPr>
        <w:rPr>
          <w:rFonts w:ascii="Arial" w:eastAsia="Arial" w:hAnsi="Arial" w:cs="Arial"/>
          <w:sz w:val="24"/>
          <w:szCs w:val="24"/>
        </w:rPr>
      </w:pPr>
      <w:r w:rsidRPr="2030048C">
        <w:rPr>
          <w:rFonts w:ascii="Arial" w:eastAsia="Arial" w:hAnsi="Arial" w:cs="Arial"/>
          <w:b/>
          <w:bCs/>
          <w:color w:val="000000"/>
          <w:sz w:val="24"/>
          <w:szCs w:val="24"/>
        </w:rPr>
        <w:t xml:space="preserve">Sequential Learning Journey, from exploratory to investigation to final confirmation across the whole year. </w:t>
      </w:r>
    </w:p>
    <w:p w:rsidRPr="2030048C" w:rsidP="2030048C">
      <w:pPr>
        <w:rPr>
          <w:rFonts w:ascii="Arial" w:eastAsia="Arial" w:hAnsi="Arial" w:cs="Arial"/>
          <w:sz w:val="24"/>
          <w:szCs w:val="24"/>
        </w:rPr>
      </w:pPr>
      <w:r w:rsidRPr="2030048C">
        <w:rPr>
          <w:rFonts w:ascii="Arial" w:eastAsia="Arial" w:hAnsi="Arial" w:cs="Arial"/>
          <w:sz w:val="24"/>
          <w:szCs w:val="24"/>
        </w:rPr>
        <w:t>Introduction to Art, Design &amp; Media</w:t>
      </w:r>
      <w:r w:rsidRPr="2030048C">
        <w:rPr>
          <w:rFonts w:ascii="Arial" w:eastAsia="Arial" w:hAnsi="Arial" w:cs="Arial"/>
          <w:b/>
          <w:bCs/>
          <w:color w:val="000000"/>
          <w:sz w:val="24"/>
          <w:szCs w:val="24"/>
        </w:rPr>
        <w:t>:</w:t>
      </w:r>
      <w:r w:rsidRPr="2030048C">
        <w:rPr>
          <w:rFonts w:ascii="Arial" w:eastAsia="Arial" w:hAnsi="Arial" w:cs="Arial"/>
          <w:color w:val="000000"/>
          <w:sz w:val="24"/>
          <w:szCs w:val="24"/>
        </w:rPr>
        <w:t xml:space="preserve"> This is delivered through a series of several projects designed to enable students to investigate a range of technical skills and applications across a range of core disciplines Fine Art, Three-dimensional design, Fashion and Fabrication, Visual communication and Architecture helping students begin to define their specialist focus and develop a range of visual, written and verbal transferable skills. T</w:t>
      </w:r>
      <w:r w:rsidRPr="2030048C">
        <w:rPr>
          <w:rFonts w:ascii="Arial" w:eastAsia="Arial" w:hAnsi="Arial" w:cs="Arial"/>
          <w:color w:val="000000"/>
          <w:sz w:val="24"/>
          <w:szCs w:val="24"/>
        </w:rPr>
        <w:t xml:space="preserve">hese include drawing, painting, model-making, fabrication, photography, creative software, research, writing and so on. </w:t>
      </w:r>
      <w:r w:rsidRPr="2030048C">
        <w:rPr>
          <w:rFonts w:ascii="Arial" w:eastAsia="Arial" w:hAnsi="Arial" w:cs="Arial"/>
          <w:color w:val="000000"/>
          <w:sz w:val="24"/>
          <w:szCs w:val="24"/>
        </w:rPr>
        <w:t xml:space="preserve">Students will engage in a variety of workshops and inductions integrated within the projects, giving them access to a range of resources, which include: 3D workshops, fashion atelier, Photoshop, InDesign, photography and video-making equipment. </w:t>
      </w:r>
    </w:p>
    <w:p w:rsidRPr="2030048C" w:rsidP="2030048C">
      <w:pPr>
        <w:rPr>
          <w:rFonts w:ascii="Arial" w:eastAsia="Arial" w:hAnsi="Arial" w:cs="Arial"/>
          <w:sz w:val="24"/>
          <w:szCs w:val="24"/>
        </w:rPr>
      </w:pPr>
      <w:r w:rsidRPr="2030048C">
        <w:rPr>
          <w:rFonts w:ascii="Arial" w:eastAsia="Arial" w:hAnsi="Arial" w:cs="Arial"/>
          <w:color w:val="000000"/>
          <w:sz w:val="24"/>
          <w:szCs w:val="24"/>
        </w:rPr>
        <w:t>Investigating Specialist Practice</w:t>
      </w:r>
      <w:r w:rsidRPr="2030048C">
        <w:rPr>
          <w:rFonts w:ascii="Arial" w:eastAsia="Arial" w:hAnsi="Arial" w:cs="Arial"/>
          <w:b/>
          <w:bCs/>
          <w:color w:val="000000"/>
          <w:sz w:val="24"/>
          <w:szCs w:val="24"/>
        </w:rPr>
        <w:t xml:space="preserve"> :</w:t>
      </w:r>
      <w:r w:rsidRPr="2030048C">
        <w:rPr>
          <w:rFonts w:ascii="Arial" w:eastAsia="Arial" w:hAnsi="Arial" w:cs="Arial"/>
          <w:color w:val="000000"/>
          <w:sz w:val="24"/>
          <w:szCs w:val="24"/>
        </w:rPr>
        <w:t xml:space="preserve"> This is delivered through a two overarching projects, which allow students to engage, investigate and develop their own particular specialist practice. Integrated within this is a range of specialist and advanced inductions in order to build on and develop existing skills gained from Teaching Block 1 toward specialist engagement. With a questioning mindset, students will be guided to carry out in-depth research into their chosen specialism through primary, and secondary research to develop students creative problem-solving skills. </w:t>
      </w:r>
    </w:p>
    <w:p w:rsidRPr="2030048C" w:rsidP="2030048C">
      <w:pPr>
        <w:rPr>
          <w:rFonts w:ascii="Arial" w:eastAsia="Arial" w:hAnsi="Arial" w:cs="Arial"/>
          <w:sz w:val="24"/>
          <w:szCs w:val="24"/>
        </w:rPr>
      </w:pPr>
      <w:r w:rsidRPr="2030048C">
        <w:rPr>
          <w:rFonts w:ascii="Arial" w:eastAsia="Arial" w:hAnsi="Arial" w:cs="Arial"/>
          <w:b/>
          <w:bCs/>
          <w:color w:val="000000"/>
          <w:sz w:val="24"/>
          <w:szCs w:val="24"/>
        </w:rPr>
        <w:t>Final Major Project:</w:t>
      </w:r>
      <w:r w:rsidRPr="2030048C">
        <w:rPr>
          <w:rFonts w:ascii="Arial" w:eastAsia="Arial" w:hAnsi="Arial" w:cs="Arial"/>
          <w:color w:val="000000"/>
          <w:sz w:val="24"/>
          <w:szCs w:val="24"/>
        </w:rPr>
        <w:t xml:space="preserve"> As part of the final major stage, built on from Teaching Block 1 and early stage of Teaching Block 2, this module focuses on a final confirmatory specialist project, which allows students to develop a body of research and practice investigation specific to and in confirmation of their specialist practice and BA progression choice. At this stage, students will also be guided to form and communicate students' creative identity as well as incorporate commercial aspects of creative practice in their learning. This culminates in a final exhibition within the PYSS campus and is a key aspect of the professional development and degree-level focus.</w:t>
      </w:r>
    </w:p>
    <w:p w:rsidRPr="2030048C" w:rsidP="2030048C">
      <w:pPr>
        <w:rPr>
          <w:rFonts w:ascii="Arial" w:eastAsia="Arial" w:hAnsi="Arial" w:cs="Arial"/>
          <w:sz w:val="24"/>
          <w:szCs w:val="24"/>
        </w:rPr>
      </w:pPr>
      <w:r w:rsidRPr="2030048C">
        <w:rPr>
          <w:rFonts w:ascii="Arial" w:eastAsia="Arial" w:hAnsi="Arial" w:cs="Arial"/>
          <w:b/>
          <w:bCs/>
          <w:color w:val="000000"/>
          <w:sz w:val="24"/>
          <w:szCs w:val="24"/>
        </w:rPr>
        <w:t xml:space="preserve">Integrating </w:t>
      </w:r>
      <w:r w:rsidRPr="2030048C">
        <w:rPr>
          <w:rFonts w:ascii="Arial" w:eastAsia="Arial" w:hAnsi="Arial" w:cs="Arial"/>
          <w:b/>
          <w:bCs/>
          <w:color w:val="000000"/>
          <w:sz w:val="24"/>
          <w:szCs w:val="24"/>
        </w:rPr>
        <w:t xml:space="preserve">Language and Academic Skills </w:t>
      </w:r>
      <w:r w:rsidRPr="2030048C">
        <w:rPr>
          <w:rFonts w:ascii="Arial" w:eastAsia="Arial" w:hAnsi="Arial" w:cs="Arial"/>
          <w:b/>
          <w:bCs/>
          <w:color w:val="000000"/>
          <w:sz w:val="24"/>
          <w:szCs w:val="24"/>
        </w:rPr>
        <w:t xml:space="preserve">with Creative Practice: </w:t>
      </w:r>
      <w:r w:rsidRPr="2030048C">
        <w:rPr>
          <w:rFonts w:ascii="Arial" w:eastAsia="Arial" w:hAnsi="Arial" w:cs="Arial"/>
          <w:color w:val="000000"/>
          <w:sz w:val="24"/>
          <w:szCs w:val="24"/>
        </w:rPr>
        <w:t>It is critical for students coming from different educational backgrounds and whose first language is not English to be well equipped with the appropriate subject English language, study skills and research skills during the foundation year as a transition before the degree studies in the UK. The study of academic skills will be centred around the content of the Art and Design research, precedents, concepts, techniques and practices.</w:t>
      </w:r>
    </w:p>
    <w:p w:rsidRPr="2030048C" w:rsidP="2030048C">
      <w:pPr>
        <w:rPr>
          <w:rFonts w:ascii="Arial" w:eastAsia="Arial" w:hAnsi="Arial" w:cs="Arial"/>
          <w:sz w:val="24"/>
          <w:szCs w:val="24"/>
        </w:rPr>
      </w:pPr>
      <w:r w:rsidRPr="2030048C">
        <w:rPr>
          <w:rFonts w:ascii="Arial" w:eastAsia="Arial" w:hAnsi="Arial" w:cs="Arial"/>
          <w:color w:val="000000"/>
          <w:sz w:val="24"/>
          <w:szCs w:val="24"/>
        </w:rPr>
        <w:t xml:space="preserve">Students’ progress and development are evidenced through a range of embedded elements within all projects and modules, which include written assignments, reflective and academic writing, and visual and verbal presentations. This enables students to evidence the 4 key components of reading, writing, listening and speaking integral to language-based assessment of IELTS equivalency.  </w:t>
      </w:r>
    </w:p>
    <w:p w:rsidRPr="2030048C" w:rsidP="2030048C">
      <w:pPr>
        <w:rPr>
          <w:rFonts w:ascii="Arial" w:eastAsia="Arial" w:hAnsi="Arial" w:cs="Arial"/>
          <w:sz w:val="24"/>
          <w:szCs w:val="24"/>
        </w:rPr>
      </w:pPr>
      <w:r w:rsidRPr="2030048C">
        <w:rPr>
          <w:rFonts w:ascii="Arial" w:eastAsia="Arial" w:hAnsi="Arial" w:cs="Arial"/>
          <w:b/>
          <w:bCs/>
          <w:color w:val="000000"/>
          <w:sz w:val="24"/>
          <w:szCs w:val="24"/>
        </w:rPr>
        <w:t>Studio-Based Learning</w:t>
      </w:r>
      <w:r w:rsidRPr="2030048C">
        <w:rPr>
          <w:rFonts w:ascii="Arial" w:eastAsia="Arial" w:hAnsi="Arial" w:cs="Arial"/>
          <w:color w:val="000000"/>
          <w:sz w:val="24"/>
          <w:szCs w:val="24"/>
        </w:rPr>
        <w:t xml:space="preserve">: The 3 studio-based modules encourage students to learn through doing, applying action learning in creative practice. Experimenting with technical skills, computer designer skills, making models, and producing artifacts will be critical for students’ learning journey which is grounded in research and critical reflection too. All projects incorporate a series of specialist-based workshops, with incremental knowledge-based levels aligned with the stage development nature of the course. </w:t>
      </w:r>
    </w:p>
    <w:p w:rsidRPr="2030048C" w:rsidP="2030048C">
      <w:pPr>
        <w:rPr>
          <w:rFonts w:ascii="Arial" w:eastAsia="Arial" w:hAnsi="Arial" w:cs="Arial"/>
          <w:sz w:val="24"/>
          <w:szCs w:val="24"/>
        </w:rPr>
      </w:pPr>
      <w:r w:rsidRPr="2030048C">
        <w:rPr>
          <w:rFonts w:ascii="Arial" w:eastAsia="Arial" w:hAnsi="Arial" w:cs="Arial"/>
          <w:b/>
          <w:bCs/>
          <w:color w:val="000000"/>
          <w:sz w:val="24"/>
          <w:szCs w:val="24"/>
        </w:rPr>
        <w:t>Study Visits</w:t>
      </w:r>
      <w:r w:rsidRPr="2030048C">
        <w:rPr>
          <w:rFonts w:ascii="Arial" w:eastAsia="Arial" w:hAnsi="Arial" w:cs="Arial"/>
          <w:color w:val="000000"/>
          <w:sz w:val="24"/>
          <w:szCs w:val="24"/>
        </w:rPr>
        <w:t xml:space="preserve">: educational visits are integrated into </w:t>
      </w:r>
      <w:r w:rsidRPr="2030048C">
        <w:rPr>
          <w:rFonts w:ascii="Arial" w:eastAsia="Arial" w:hAnsi="Arial" w:cs="Arial"/>
          <w:color w:val="000000"/>
          <w:sz w:val="24"/>
          <w:szCs w:val="24"/>
        </w:rPr>
        <w:t xml:space="preserve">some </w:t>
      </w:r>
      <w:r w:rsidRPr="2030048C">
        <w:rPr>
          <w:rFonts w:ascii="Arial" w:eastAsia="Arial" w:hAnsi="Arial" w:cs="Arial"/>
          <w:color w:val="000000"/>
          <w:sz w:val="24"/>
          <w:szCs w:val="24"/>
        </w:rPr>
        <w:t xml:space="preserve">projects, these include visits to </w:t>
      </w:r>
      <w:r w:rsidRPr="2030048C">
        <w:rPr>
          <w:rFonts w:ascii="Arial" w:eastAsia="Arial" w:hAnsi="Arial" w:cs="Arial"/>
          <w:color w:val="000000"/>
          <w:sz w:val="24"/>
          <w:szCs w:val="24"/>
        </w:rPr>
        <w:t xml:space="preserve">local </w:t>
      </w:r>
      <w:r w:rsidRPr="2030048C">
        <w:rPr>
          <w:rFonts w:ascii="Arial" w:eastAsia="Arial" w:hAnsi="Arial" w:cs="Arial"/>
          <w:color w:val="000000"/>
          <w:sz w:val="24"/>
          <w:szCs w:val="24"/>
        </w:rPr>
        <w:t xml:space="preserve">galleries and museums, and the costs are already built into the tuition fee. It is important to develop the tacit knowledge and action learning practice for creative discipline students. </w:t>
      </w:r>
    </w:p>
    <w:p w:rsidRPr="2030048C" w:rsidP="2030048C">
      <w:pPr>
        <w:rPr>
          <w:rFonts w:ascii="Arial" w:eastAsia="Arial" w:hAnsi="Arial" w:cs="Arial"/>
          <w:sz w:val="24"/>
          <w:szCs w:val="24"/>
        </w:rPr>
      </w:pPr>
      <w:r w:rsidRPr="2030048C">
        <w:rPr>
          <w:rFonts w:ascii="Arial" w:eastAsia="Arial" w:hAnsi="Arial" w:cs="Arial"/>
          <w:b/>
          <w:bCs/>
          <w:color w:val="000000"/>
          <w:sz w:val="24"/>
          <w:szCs w:val="24"/>
        </w:rPr>
        <w:t xml:space="preserve">Visual Reflective Journal: </w:t>
      </w:r>
      <w:r w:rsidRPr="2030048C">
        <w:rPr>
          <w:rFonts w:ascii="Arial" w:eastAsia="Arial" w:hAnsi="Arial" w:cs="Arial"/>
          <w:color w:val="000000"/>
          <w:sz w:val="24"/>
          <w:szCs w:val="24"/>
        </w:rPr>
        <w:t xml:space="preserve">This has been developed as an integral learning tool, enabling students to track, develop and analyse their learning journal through both visual and written outcomes and responses. This is a key element of recording, developing, and reflecting upon the acquisition of core practice-based skills key to BA-level study for the creative industries. This forms part of the assessment for the models: Integrating Language and Academic Skills with Creative Practice and Investigating Specialist Practice. </w:t>
      </w:r>
    </w:p>
    <w:p w:rsidRPr="2030048C" w:rsidP="2030048C">
      <w:pPr>
        <w:rPr>
          <w:rFonts w:ascii="Arial" w:eastAsia="Arial" w:hAnsi="Arial" w:cs="Arial"/>
          <w:sz w:val="24"/>
          <w:szCs w:val="24"/>
        </w:rPr>
      </w:pPr>
      <w:r w:rsidRPr="2030048C">
        <w:rPr>
          <w:rFonts w:ascii="Arial" w:eastAsia="Arial" w:hAnsi="Arial" w:cs="Arial"/>
          <w:b/>
          <w:bCs/>
          <w:color w:val="000000"/>
          <w:sz w:val="24"/>
          <w:szCs w:val="24"/>
        </w:rPr>
        <w:t xml:space="preserve">Monthly Guest Lecture and Industrial Talk: </w:t>
      </w:r>
      <w:r w:rsidRPr="2030048C">
        <w:rPr>
          <w:rFonts w:ascii="Arial" w:eastAsia="Arial" w:hAnsi="Arial" w:cs="Arial"/>
          <w:color w:val="000000"/>
          <w:sz w:val="24"/>
          <w:szCs w:val="24"/>
        </w:rPr>
        <w:t xml:space="preserve">Central to intellectual development, social responsibility and employability, monthly guest lectures and industrial talks form a critical element of the curriculum. Students’ creative practice should be guided by industrial needs and driven by personal but also real problems in society. This helps raise the awareness of Sustainable Development Goals (SDGs) as well as the future skills that KU prepares its graduates for. </w:t>
      </w:r>
    </w:p>
    <w:p w:rsidRPr="2030048C" w:rsidP="2030048C">
      <w:pPr>
        <w:rPr>
          <w:rFonts w:ascii="Arial" w:eastAsia="Arial" w:hAnsi="Arial" w:cs="Arial"/>
          <w:sz w:val="24"/>
          <w:szCs w:val="24"/>
        </w:rPr>
      </w:pPr>
      <w:r w:rsidRPr="2030048C">
        <w:rPr>
          <w:rFonts w:ascii="Arial" w:eastAsia="Arial" w:hAnsi="Arial" w:cs="Arial"/>
          <w:b/>
          <w:bCs/>
          <w:color w:val="000000"/>
          <w:sz w:val="24"/>
          <w:szCs w:val="24"/>
        </w:rPr>
        <w:t>KSA Canvas and online resources:</w:t>
      </w:r>
      <w:r w:rsidRPr="2030048C">
        <w:rPr>
          <w:rFonts w:ascii="Arial" w:eastAsia="Arial" w:hAnsi="Arial" w:cs="Arial"/>
          <w:color w:val="000000"/>
          <w:sz w:val="24"/>
          <w:szCs w:val="24"/>
        </w:rPr>
        <w:t xml:space="preserve"> are integral to the delivery teaching and learning strategy of the course. This will support students to gain a good understanding of online resources available to them during their Foundation course in China as well as UG studies at KSA later on. All projects and related materials are posted in advance of delivery, allowing students to prepare and familiarise themselves prior to delivery, essential for students whose first language is not English. Students will also engage with KSA Canvas through the use of the course blog, Turnitin assignments, and peer assessment.</w:t>
      </w:r>
    </w:p>
    <w:p w:rsidRPr="2030048C" w:rsidP="2030048C">
      <w:pPr>
        <w:rPr>
          <w:rFonts w:ascii="Arial" w:eastAsia="Arial" w:hAnsi="Arial" w:cs="Arial"/>
          <w:sz w:val="24"/>
          <w:szCs w:val="24"/>
        </w:rPr>
      </w:pPr>
      <w:r w:rsidRPr="2030048C">
        <w:rPr>
          <w:rFonts w:ascii="Arial" w:eastAsia="Arial" w:hAnsi="Arial" w:cs="Arial"/>
          <w:color w:val="000000"/>
          <w:sz w:val="24"/>
          <w:szCs w:val="24"/>
        </w:rPr>
        <w:t>The delivery of each stage will be by means of lectures, seminars, briefings, demonstrations, workshops, group critique, individual tutorials, online or in-person tutorials, study visits, peer learning and guided independent learning and study skills.</w:t>
      </w:r>
    </w:p>
    <w:p w:rsidRPr="2030048C" w:rsidP="2030048C">
      <w:pPr>
        <w:rPr>
          <w:rFonts w:ascii="Arial" w:eastAsia="Arial" w:hAnsi="Arial" w:cs="Arial"/>
          <w:sz w:val="24"/>
          <w:szCs w:val="24"/>
        </w:rPr>
      </w:pPr>
      <w:r w:rsidRPr="2030048C">
        <w:rPr>
          <w:rFonts w:ascii="Arial" w:eastAsia="Arial" w:hAnsi="Arial" w:cs="Arial"/>
          <w:b/>
          <w:bCs/>
          <w:color w:val="000000"/>
          <w:sz w:val="24"/>
          <w:szCs w:val="24"/>
          <w:u w:val="single"/>
        </w:rPr>
        <w:t>Assessment Strategy</w:t>
      </w:r>
      <w:r w:rsidRPr="2030048C">
        <w:rPr>
          <w:rFonts w:ascii="Arial" w:eastAsia="Arial" w:hAnsi="Arial" w:cs="Arial"/>
          <w:b/>
          <w:bCs/>
          <w:color w:val="000000"/>
          <w:sz w:val="24"/>
          <w:szCs w:val="24"/>
        </w:rPr>
        <w:t xml:space="preserve"> (of the course)</w:t>
      </w:r>
    </w:p>
    <w:p w:rsidRPr="2030048C" w:rsidP="2030048C">
      <w:pPr>
        <w:rPr>
          <w:rFonts w:ascii="Arial" w:eastAsia="Arial" w:hAnsi="Arial" w:cs="Arial"/>
          <w:sz w:val="24"/>
          <w:szCs w:val="24"/>
        </w:rPr>
      </w:pPr>
      <w:r w:rsidRPr="2030048C">
        <w:rPr>
          <w:rFonts w:ascii="Arial" w:eastAsia="Arial" w:hAnsi="Arial" w:cs="Arial"/>
          <w:color w:val="000000"/>
          <w:sz w:val="24"/>
          <w:szCs w:val="24"/>
        </w:rPr>
        <w:t>The course is a level 3 programme delivered in line with KU’s Common Credit Framework. All units are pass level only requiring a minimum of 40% achievement. Students will receive indicative grades across the full range of grade descriptors on completion of the Module. This enables students to effectively track their academic progress throughout their course.</w:t>
      </w:r>
    </w:p>
    <w:p w:rsidRPr="2030048C" w:rsidP="2030048C">
      <w:pPr>
        <w:rPr>
          <w:rFonts w:ascii="Arial" w:eastAsia="Arial" w:hAnsi="Arial" w:cs="Arial"/>
          <w:sz w:val="24"/>
          <w:szCs w:val="24"/>
        </w:rPr>
      </w:pPr>
      <w:r w:rsidRPr="2030048C">
        <w:rPr>
          <w:rFonts w:ascii="Arial" w:eastAsia="Arial" w:hAnsi="Arial" w:cs="Arial"/>
          <w:color w:val="000000"/>
          <w:sz w:val="24"/>
          <w:szCs w:val="24"/>
        </w:rPr>
        <w:t xml:space="preserve">Students who fail to achieve 40% will be given a referral period and project in order to retrieve the module. The referral task will be set either immediately after each module or at the end of the academic year in compliance with the KU academic requirements. </w:t>
      </w:r>
    </w:p>
    <w:p w:rsidRPr="2030048C" w:rsidP="2030048C">
      <w:pPr>
        <w:rPr>
          <w:rFonts w:ascii="Arial" w:eastAsia="Arial" w:hAnsi="Arial" w:cs="Arial"/>
          <w:sz w:val="24"/>
          <w:szCs w:val="24"/>
        </w:rPr>
      </w:pPr>
      <w:r w:rsidRPr="2030048C">
        <w:rPr>
          <w:rFonts w:ascii="Arial" w:eastAsia="Arial" w:hAnsi="Arial" w:cs="Arial"/>
          <w:color w:val="000000"/>
          <w:sz w:val="24"/>
          <w:szCs w:val="24"/>
        </w:rPr>
        <w:t xml:space="preserve">The assessment format is outlined in each module and mapped against the Learning Outcomes. You will have both formative and summative assessments.  </w:t>
      </w:r>
    </w:p>
    <w:p w:rsidRPr="2030048C" w:rsidP="2030048C">
      <w:pPr>
        <w:rPr>
          <w:rFonts w:ascii="Arial" w:eastAsia="Arial" w:hAnsi="Arial" w:cs="Arial"/>
          <w:sz w:val="24"/>
          <w:szCs w:val="24"/>
        </w:rPr>
      </w:pPr>
      <w:r w:rsidRPr="2030048C">
        <w:rPr>
          <w:rFonts w:ascii="Arial" w:eastAsia="Arial" w:hAnsi="Arial" w:cs="Arial"/>
          <w:color w:val="000000"/>
          <w:sz w:val="24"/>
          <w:szCs w:val="24"/>
        </w:rPr>
        <w:t xml:space="preserve">Formative assessment is intended to help students to learn (assessment for learning) and provides opportunities for students to identify their strengths and weaknesses and focus on areas they need to work on and improve. Summative assessment is intended to identify what has been learned (assessment of learning) and therefore assessed marks count towards the final grade awarded. </w:t>
      </w:r>
    </w:p>
    <w:p w:rsidRPr="2030048C" w:rsidP="2030048C">
      <w:pPr>
        <w:rPr>
          <w:rFonts w:ascii="Arial" w:eastAsia="Arial" w:hAnsi="Arial" w:cs="Arial"/>
          <w:sz w:val="24"/>
          <w:szCs w:val="24"/>
        </w:rPr>
      </w:pPr>
      <w:r w:rsidRPr="2030048C">
        <w:rPr>
          <w:rFonts w:ascii="Arial" w:eastAsia="Arial" w:hAnsi="Arial" w:cs="Arial"/>
          <w:color w:val="000000"/>
          <w:sz w:val="24"/>
          <w:szCs w:val="24"/>
        </w:rPr>
        <w:t xml:space="preserve">The assessment criteria are clearly described in every written brief and also found on Canvas. The assessment criteria are generally additionally communicated verbally at each project briefing. </w:t>
      </w:r>
    </w:p>
    <w:p w:rsidRPr="2030048C" w:rsidP="2030048C">
      <w:pPr>
        <w:rPr>
          <w:rFonts w:ascii="Arial" w:eastAsia="Arial" w:hAnsi="Arial" w:cs="Arial"/>
          <w:sz w:val="24"/>
          <w:szCs w:val="24"/>
        </w:rPr>
      </w:pPr>
      <w:r w:rsidRPr="2030048C">
        <w:rPr>
          <w:rFonts w:ascii="Arial" w:eastAsia="Arial" w:hAnsi="Arial" w:cs="Arial"/>
          <w:sz w:val="24"/>
          <w:szCs w:val="24"/>
        </w:rPr>
        <w:t>Students will be provided with formative assessment opportunities throughout the course to practise and develop their proficiency in the range of assessment methods utilised.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color w:val="000000"/>
          <w:sz w:val="22"/>
          <w:szCs w:val="22"/>
        </w:rPr>
        <w:t xml:space="preserve">Throughout their course of study, each student will have access to a variety of sources of support depending on individual circumstances and needs.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Apart from the wide support framework and staff that PYSS students will be able to access, encompassing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2"/>
          <w:szCs w:val="22"/>
        </w:rPr>
        <w:t>Principle of PYSS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Director of Programme/Academic Director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Course Leaders,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2"/>
          <w:szCs w:val="22"/>
        </w:rPr>
        <w:t>Module Leaders,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2"/>
          <w:szCs w:val="22"/>
        </w:rPr>
        <w:t>Personal Tutors,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2"/>
          <w:szCs w:val="22"/>
        </w:rPr>
        <w:t>Technicians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Course Administrator </w:t>
      </w:r>
    </w:p>
    <w:p w:rsidRPr="2030048C" w:rsidP="2030048C">
      <w:pPr>
        <w:rPr>
          <w:rFonts w:ascii="Arial" w:eastAsia="Arial" w:hAnsi="Arial" w:cs="Arial"/>
          <w:sz w:val="24"/>
          <w:szCs w:val="24"/>
        </w:rPr>
      </w:pPr>
      <w:r w:rsidRPr="2030048C">
        <w:rPr>
          <w:rFonts w:ascii="Arial" w:eastAsia="Arial" w:hAnsi="Arial" w:cs="Arial"/>
          <w:color w:val="000000"/>
          <w:sz w:val="24"/>
          <w:szCs w:val="24"/>
        </w:rPr>
        <w:t xml:space="preserve">All students will have at their disposal a variety of other academic and professional support systems which reflect the nature of the course. Similarly, the pedagogic model will be highly personalised, drawing in academically and commercially skilled individuals to support students through the application of theory to practice with high levels of 1-2-1 support.  </w:t>
      </w:r>
    </w:p>
    <w:p w:rsidRPr="2030048C" w:rsidP="2030048C">
      <w:pPr>
        <w:rPr>
          <w:rFonts w:ascii="Arial" w:eastAsia="Arial" w:hAnsi="Arial" w:cs="Arial"/>
          <w:sz w:val="24"/>
          <w:szCs w:val="24"/>
        </w:rPr>
      </w:pPr>
      <w:r w:rsidRPr="2030048C">
        <w:rPr>
          <w:rFonts w:ascii="Arial" w:eastAsia="Arial" w:hAnsi="Arial" w:cs="Arial"/>
          <w:color w:val="000000"/>
          <w:sz w:val="24"/>
          <w:szCs w:val="24"/>
        </w:rPr>
        <w:t xml:space="preserve">In addition, all students from </w:t>
      </w:r>
      <w:r w:rsidRPr="2030048C">
        <w:rPr>
          <w:rFonts w:ascii="Arial" w:eastAsia="Arial" w:hAnsi="Arial" w:cs="Arial"/>
          <w:color w:val="000000"/>
          <w:sz w:val="24"/>
          <w:szCs w:val="24"/>
        </w:rPr>
        <w:t xml:space="preserve">PYSS will also have access to My Kingston (Sharepoint) which allows students to access the relevant regulations and policies as well as the teaching materials. As students will learn in the medium of English, we would offer additional English language sessions for students who can benefit from it. </w:t>
      </w:r>
    </w:p>
    <w:p w:rsidRPr="2030048C" w:rsidP="2030048C">
      <w:pPr>
        <w:rPr>
          <w:rFonts w:ascii="Arial" w:eastAsia="Arial" w:hAnsi="Arial" w:cs="Arial"/>
          <w:sz w:val="24"/>
          <w:szCs w:val="24"/>
        </w:rPr>
      </w:pPr>
      <w:r w:rsidRPr="2030048C">
        <w:rPr>
          <w:rFonts w:ascii="Arial" w:eastAsia="Arial" w:hAnsi="Arial" w:cs="Arial"/>
          <w:color w:val="000000"/>
          <w:sz w:val="24"/>
          <w:szCs w:val="24"/>
        </w:rPr>
        <w:t xml:space="preserve">Students’ Voice and Representation will also be integral to the success of students and the programme. Students’ feedback would be communicated through Student Representatives, Course Board, Module Feedback form, Open Forum and others. This feedback must be used to improve the student experience as an ongoing process. </w:t>
      </w:r>
    </w:p>
    <w:p w:rsidRPr="2030048C" w:rsidP="2030048C">
      <w:pPr>
        <w:rPr>
          <w:rFonts w:ascii="Arial" w:eastAsia="Arial" w:hAnsi="Arial" w:cs="Arial"/>
          <w:sz w:val="24"/>
          <w:szCs w:val="24"/>
        </w:rPr>
      </w:pPr>
      <w:r w:rsidRPr="2030048C">
        <w:rPr>
          <w:rFonts w:ascii="Arial" w:eastAsia="Arial" w:hAnsi="Arial" w:cs="Arial"/>
          <w:color w:val="000000"/>
          <w:sz w:val="24"/>
          <w:szCs w:val="24"/>
        </w:rPr>
        <w:t>The following support services are available for students at PYSS: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Studying at Kingston University in the UK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color w:val="000000"/>
          <w:sz w:val="22"/>
          <w:szCs w:val="22"/>
        </w:rPr>
        <w:t>Student Finance and Career Counselling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Additional English Language and study skills support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Disability and Mental Health Advice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Accommodation Support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UK visa and studying in the UK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color w:val="000000"/>
          <w:sz w:val="22"/>
          <w:szCs w:val="22"/>
        </w:rPr>
        <w:t>Peer or Staff Mentoring</w:t>
      </w:r>
    </w:p>
    <w:p w:rsidRPr="2030048C" w:rsidP="2030048C">
      <w:pPr>
        <w:rPr>
          <w:rFonts w:ascii="Arial" w:eastAsia="Arial" w:hAnsi="Arial" w:cs="Arial"/>
          <w:sz w:val="24"/>
          <w:szCs w:val="24"/>
        </w:rPr>
      </w:pPr>
      <w:r w:rsidRPr="2030048C">
        <w:rPr>
          <w:rFonts w:ascii="Arial" w:eastAsia="Arial" w:hAnsi="Arial" w:cs="Arial"/>
          <w:color w:val="000000"/>
          <w:sz w:val="24"/>
          <w:szCs w:val="24"/>
        </w:rPr>
        <w:t>Student advice, help and support are further detailed in the Student Handbook.</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color w:val="000000"/>
          <w:sz w:val="24"/>
          <w:szCs w:val="24"/>
        </w:rPr>
        <w:t>The University has several methods for evaluating and improving the quality and standards of its provision. These include:</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4"/>
          <w:szCs w:val="24"/>
        </w:rPr>
        <w:t>International examiners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4"/>
          <w:szCs w:val="24"/>
        </w:rPr>
        <w:t>Annual Monitoring and Enhancement</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4"/>
          <w:szCs w:val="24"/>
        </w:rPr>
        <w:t>Continuous Monitoring of courses through the Kingston Course Enhancement Programme (KCEP+)</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4"/>
          <w:szCs w:val="24"/>
        </w:rPr>
        <w:t>Student evaluation including Module Evaluation Questionnaires (MEQs)  </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4"/>
          <w:szCs w:val="24"/>
        </w:rPr>
        <w:t>Moderation</w:t>
      </w:r>
      <w:r w:rsidRPr="2030048C">
        <w:rPr>
          <w:rFonts w:ascii="Arial" w:eastAsia="Arial" w:hAnsi="Arial" w:cs="Arial"/>
          <w:color w:val="000000"/>
          <w:sz w:val="24"/>
          <w:szCs w:val="24"/>
        </w:rPr>
        <w:t> policies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4"/>
          <w:szCs w:val="24"/>
        </w:rPr>
        <w:t xml:space="preserve">Feedback from the L4 Programme Leaders on the progressed students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29"/>
        <w:gridCol w:w="929"/>
        <w:gridCol w:w="929"/>
        <w:gridCol w:w="92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3</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DS3001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DS3002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DS3003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DS3004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customXml" Target="../customXml/item3.xml"/><Relationship Id="rId10" Type="http://schemas.openxmlformats.org/officeDocument/2006/relationships/hyperlink" Target="https://www.officeforstudents.org.uk/media/53821cbf-5779-4380-bf2a-aa8f5c53ecd4/sector-recognised-standards.pdf%22" TargetMode="Externa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AE0D78D2-4D12-4E8B-8069-C3AE9F55A0A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