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MPharm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Pharmacy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Pharmacy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MPharm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Applied Pharmaceutical Sciences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Applied Pharmaceutical Sciences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Applied Pharmaceutical Sciences</w:t>
            </w:r>
            <w:r>
              <w:br/>
            </w:r>
            <w:r w:rsidRPr="2030048C" w:rsidR="71C545CA">
              <w:rPr>
                <w:rFonts w:ascii="Arial" w:eastAsia="Arial" w:hAnsi="Arial" w:cs="Arial"/>
                <w:b w:val="0"/>
                <w:bCs w:val="0"/>
                <w:sz w:val="24"/>
                <w:szCs w:val="24"/>
                <w:lang w:val="en-GB"/>
              </w:rPr>
              <w:t>Masters Applied Pharmaceutical Sciences</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NPCKUDE4F</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B230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and City St. George's University of London,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 UCAS tariff points: 120-136 for MPharm (Hons); 80-88 for MPharm (Hons) including foundation year.</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A-levels to include Chemistry with a minimum of a grade B and at least one of the following: Mathematics, Physics or Biology with a minimum of a grade B. General Studies and Critical Thinking not accepted.</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BTEC National: BTEC Extended Diploma in Applied Science only. Applicants must also hold an A-level Chemistry with a minimum of a grade B.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 We will consider a range of alternative qualifications such as an Access Course in Applied Science which has been passed with 128 UCAS points. Applicants must also hold an A Level in Chemistry with a minimum of a grade B.</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minimum IELTS score of 6.5, TOEFL IBT 88 or equivalent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Candidates are normally required to hold five GCSE subjects grades 4 or above including Mathematics, Double Award Science and English Language (or comparable numeric score under the newly reformed GCSE grading).</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Enhanced DBS check and health check. Shortlisted applicants will be invited for an interview, which will require successful completion.</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welcome applications from International Applicants. All non-UK applicants must meet our </w:t>
                  </w:r>
                  <w:hyperlink r:id="rId9" w:history="1">
                    <w:r w:rsidRPr="2030048C">
                      <w:rPr>
                        <w:rStyle w:val="normaltextrun"/>
                        <w:rFonts w:ascii="Arial" w:eastAsia="Arial" w:hAnsi="Arial" w:cs="Arial"/>
                        <w:b w:val="0"/>
                        <w:bCs w:val="0"/>
                        <w:color w:val="000000"/>
                        <w:sz w:val="24"/>
                        <w:szCs w:val="24"/>
                        <w:shd w:val="clear" w:color="auto" w:fill="FFFFFF"/>
                      </w:rPr>
                      <w:t>English language requirements</w:t>
                    </w:r>
                  </w:hyperlink>
                  <w:r w:rsidRPr="2030048C">
                    <w:rPr>
                      <w:rStyle w:val="normaltextrun"/>
                      <w:rFonts w:ascii="Arial" w:eastAsia="Arial" w:hAnsi="Arial" w:cs="Arial"/>
                      <w:b w:val="0"/>
                      <w:bCs w:val="0"/>
                      <w:color w:val="000000"/>
                      <w:sz w:val="24"/>
                      <w:szCs w:val="24"/>
                      <w:shd w:val="clear" w:color="auto" w:fill="FFFFFF"/>
                    </w:rPr>
                    <w:t>. For this course it is:</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TOEFL iBT 88 (R=20, L=19, S=21, W=20)</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Pearson Test of English Academic (PTE) with an overall score of 59 and no elements less than 59.</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IELTS a minimum 6.5 overall grade in IELTS (Academic) with no components lower than 6.0.</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widowControl w:val="0"/>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General</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Pharmaceutical</w:t>
            </w:r>
            <w:r w:rsidRPr="2030048C">
              <w:rPr>
                <w:rStyle w:val="normaltextrun"/>
                <w:rFonts w:ascii="Arial" w:eastAsia="Arial" w:hAnsi="Arial" w:cs="Arial"/>
                <w:b w:val="0"/>
                <w:bCs w:val="0"/>
                <w:color w:val="000000"/>
                <w:sz w:val="24"/>
                <w:szCs w:val="24"/>
                <w:shd w:val="clear" w:color="auto" w:fill="FFFFFF"/>
              </w:rPr>
              <w:t xml:space="preserve"> Council</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lang w:val="en-US" w:eastAsia="en-US"/>
              </w:rPr>
              <w:t>Approved Variants from the UR</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lang w:val="en-US" w:eastAsia="en-US"/>
              </w:rPr>
              <w:t>All students are subject to Fitness to Practise regulations in addition to the University Student Disciplinary rules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w:t>
            </w:r>
          </w:p>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5D711985" w:rsidRPr="158602C4" w:rsidP="158602C4">
                  <w:pPr>
                    <w:pStyle w:val="x"/>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sz w:val="24"/>
                      <w:szCs w:val="24"/>
                    </w:rPr>
                    <w:t xml:space="preserve">Level 4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Following failure at second attempt, a student may be permitted reassessment by repeat in a maximum of 60 credits.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sz w:val="24"/>
                      <w:szCs w:val="24"/>
                    </w:rPr>
                    <w:t xml:space="preserve">Level 5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Following failure at second attempt, reassessment by repeat is not permitted and a student will exit the programme.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sz w:val="24"/>
                      <w:szCs w:val="24"/>
                    </w:rPr>
                    <w:t>Level 6</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Following failure at the second attempt, reassessment by repeat is not permitted and a student will exit the programme.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sz w:val="24"/>
                      <w:szCs w:val="24"/>
                    </w:rPr>
                    <w:t>Level 7</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Following failure at second attempt, reassessment by repeat is not permitted and the Programme Assessment Board will terminate the student’s registration on the MPharm Programme.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Compensation:</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Compensation is not permitted.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201F1E"/>
                      <w:sz w:val="24"/>
                      <w:szCs w:val="24"/>
                    </w:rPr>
                    <w:t>Trailing:</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201F1E"/>
                      <w:sz w:val="24"/>
                      <w:szCs w:val="24"/>
                      <w:shd w:val="clear" w:color="auto" w:fill="FFFFFF"/>
                    </w:rPr>
                    <w:t>Trailing assessment is not permitted. Students cannot progress from one level to another while trailing assessments of a 30 credit or zero credit module to the next level.</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201F1E"/>
                      <w:sz w:val="24"/>
                      <w:szCs w:val="24"/>
                      <w:shd w:val="clear" w:color="auto" w:fill="FFFFFF"/>
                    </w:rPr>
                    <w:t>Restrictions on assessment attempts:</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Students must pass all elements of the Academic and Professional Skills Portfolio module at levels 4, 5, 6 and 7. The pass mark for the Calculation Test and the OSCE assessments will be standard set. A maximum of two attempts will be permitted for the Calculations Test assessment. A maximum of two attempts will be permitted for the OSCE assessment. </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For the OSCE assessment, competence is being assessed within a specified time and therefore no extra time for each station will be permitted, although other reasonable adjustments, e.g., large font papers, coloured filters, etc could be provided.</w:t>
                  </w:r>
                </w:p>
                <w:p w:rsidR="5D711985" w:rsidRPr="158602C4" w:rsidP="158602C4">
                  <w:pPr>
                    <w:pStyle w:val="x"/>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lang w:val="en-US" w:eastAsia="en-US"/>
                    </w:rPr>
                    <w:t>All variants are to satisfy GPhC accreditation requirements and to ensure that students show sufficient knowledge and skills in the professional practice area to be fit to enter the GPhC foundation training year on graduation. </w:t>
                  </w:r>
                </w:p>
              </w:tc>
            </w:tr>
          </w:tbl>
          <w:p w:rsidR="5D711985" w:rsidRPr="158602C4" w:rsidP="158602C4">
            <w:pPr>
              <w:shd w:val="clear" w:color="auto" w:fill="FFFFFE"/>
              <w:spacing w:before="0" w:beforeAutospacing="0" w:after="0" w:afterAutospacing="0" w:line="285" w:lineRule="auto"/>
              <w:ind w:left="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professional and responsible practitioners, who are reflective, ethical, safe, sustainable and inclusive in their approach</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students to uphold the expected professional attributes and standards including safeguarding, confidentiality, consent, sustainable practices and information governance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to prescribe using evidence within relevant frameworks and systems whilst managing risk, and recognising the impact of prescribing decisions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collaborative professionals with effective team working and communication skills whilst ensuring optimum continuity and transfer of care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Nurture and support leadership and management skills, emphasising resilience and flexibility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Build confidence in conducting person centred consultations and effective communication to optimise safe, holistic, sustainable and inclusive patient care and services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Prepare the students to apply the principles of critical thinking, problem solving, shared decision making and professional judgement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knowledge and skills to practise pharmacy underpinned by science and aligned with the United Nations Sustainability Goals.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ability to retrieve, appraise, consolidate and synthesise evidence in the decision-making process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Cultivate an appreciation of research, use of technology, digital tools, and quality improvement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experiential and simulated learning opportunities to experience and engage in the process of diagnosis, supplying and prescribing medicines, monitoring outcomes, and managing medical emergencies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practitioners that promote health whilst considering health inequalities and the United Nations Development Goals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who take personal responsibility for their personal development and life-long learning, who recognise their limitations, seek support, raise concerns and take appropriate action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chemical and physical principles to the process of drug development (including pre-formulation and clinical trials) and to recognise the importance of key concepts in chemistry, pharmacology and microbiology relevant to healthcare.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evidence-based and person-centred decision making in relation to prescribing and/or medicines optimisation, deprescribing, reconciliation and health protection and promotion through simulations and experiential learning.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Perform diagnostic tests, keep records, appraise data from scientific experiments and clinical trials and interpret pathology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Possess and apply appropriate professional skills including knowledge of laws, sustainable approaches, ethics governing the supply of medicines and effectively interacting with patients and healthcare professionals as part of a multidisciplinary team to promote health.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Optimise, select and prescribe medications safely and in a cost-effective manner while managing risks and follow up of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chemical, biological, physical and mathematical concepts as well as critical appraisal of literature using clinical guidelines and frameworks to inform treatment selection and disease management as part of a holistic decision-making process.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disease aetiology and be able to explain disease treatment through knowledge of anatomy, physiology, pharmacology, pharmaceutical formulation and pharmacokinetics.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multidisciplinary working, effective leadership, professional judgement,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management skills including managing resources and priorities, proposing new services and campaigns and mentoring others.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available formulations to recommend or prescribe individualised treatment considering efficacy, safety, patient choice and suitability.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expected professional attributes, standards and legal frameworks in relation to safeguarding, inclusivity, confidentiality, sustainable practice, consent and information governance contributing towards person-centred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competence and ability to practise within all areas safely, including calculations, supply of medicines and prescribing while incorporating clinical governance processes.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structured and holistic consultations in partnership with patients including taking their full history, performing appropriate clinical assessment, interpreting their results, monitoring, managing health including co-morbidities, safety netting and transfer of care and communicating effectively.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scientific, physiological and practical principles that underpin the diagnostic tests used to monitor patient health, the interpretation of results and the recognition of the features of named altered health states.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A5</w:t>
              <w:tab/>
              <w:t>Explain the scientific, physiological and practical principles that underpin the diagnostic tests used to monitor patient health, the interpretation of results and the recognition of the features of named altered health states.</w:t>
              <w:tab/>
              <w:t>B5</w:t>
              <w:tab/>
              <w:t>Conduct effective holistic and inclusive consultations using prescribing attributes and diagnostic skills.</w:t>
              <w:tab/>
              <w:t>C5</w:t>
              <w:tab/>
              <w:t>Document and endorse clinical skills and learning achieved through placements and simulated sessions in an e-portfolio that demonstrates their ability to reflect, set goals and take action in relation to their own development and future plans.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Document and endorse clinical skills and learning achieved through placements and simulated sessions in an e-portfolio that demonstrates their ability to reflect, set goals and take action in relation to their own development and future plans.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Discuss the main considerations in health promotion and public health and describe key theories in health and how they support the development of public policy, whilst addressing the UN Sustainability Goals and viewing problems from diverse perspectives to find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conduct and report on an independent research project, laboratory activity, an audit or service evaluation including the critique of the available literature related to the subject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multiple factors such as aetiology and treatment of various diseases when dealing with practical simulated patient case scenarios whilst working within the legal and ethical framework.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good practices including numerical, analytical and laboratory skills and sustainable laboratory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shd w:val="clear" w:color="auto" w:fill="FFFFFF"/>
        </w:rPr>
        <w:t>Full details of each module will be provided in module descriptors and student module guides on Canvas. </w:t>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modules on this course are core and must be completed.</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MPharm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MPharm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ACADEMIC AND PROFESSIONAL SKILLS PORTFOLIO MODULE LEVEL 4</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Fundamentals of Cell and Human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PY4050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Pharmaceutical Chemistry and Drug Delivery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PY4080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Pharmacy Law,  Ethics and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PY4070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Wellbeing and Health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PY4060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completion of all modules and the Academic and Professional Portfolio. It is a requirement that each element of assessment is passed separately to achieve an overall pass. Please also check the variants in section 1 above.</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Applied Pharmaceutical Sciences.</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MPharm (Hons)</w:t>
            </w:r>
            <w:r w:rsidRPr="2030048C">
              <w:rPr>
                <w:rFonts w:ascii="Arial" w:eastAsia="Arial" w:hAnsi="Arial" w:cs="Arial"/>
                <w:b/>
                <w:bCs/>
                <w:lang w:val="en-GB"/>
              </w:rPr>
              <w:t xml:space="preserve"> </w:t>
            </w:r>
            <w:r w:rsidRPr="2030048C">
              <w:rPr>
                <w:rFonts w:ascii="Arial" w:eastAsia="Arial" w:hAnsi="Arial" w:cs="Arial"/>
                <w:b/>
                <w:bCs/>
                <w:lang w:val="en-GB"/>
              </w:rPr>
              <w:t>Pharmacy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ACADEMIC AND PROFESSIONAL SKILLS PORTFOLIO MODULE LEVEL 5</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Cardiorespiratory and Endocrine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PY5041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Clinical Skills 1</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Drug Design, Delivery and Quality Control</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The Central Nervous System, Gastrointestinal  Tract and Immunology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PY5051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completion of all modules and the Academic and Professional Portfolio. It is a requirement that each element of assessment within each module is passed separately to achieve an overall pass. Please also check the variants in section 1 above.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Applied Pharmaceutical Sciences and can progress onto the level 6 BSc in Advanced Pharmaceutics.</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MPharm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ACADEMIC &amp; PROFESSIONAL SKILLS PORTFOLIO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Skills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Endocrine, The Eye, Reproduction and Inflammation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Infection, Immunology, Haematology and Cancer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Neurology, Mental Health and Cardiovascular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PY6151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7 requires completion of all modules and the Academic and Professional Portfolio. It is a requirement that each element of assessment within each module is passed separately to achieve an overall pass for each module and progress to level 7. Please also check the variants in section 1 above.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 60 credits at level 6 under the University’s Undergraduate Regulations (UR) are eligible for the award of Bachelor of Science (Ordinary Degree) in Applied Pharmaceutical Sciences.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under the University’s Undergraduate Regulations (UR) are eligible for the award of Bachelor of Science (Hons) in Applied Pharmaceutical Sciences.</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MPharm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Pharmacy</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ACADEMIC AND PROFESSIONAL SKILLS PORTFOLIO MODULE LEVEL 7</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PY7000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Clinical skills and Leadership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PY7021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Integrated and Holistic Therapeutics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PY7011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PY7031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7 requires the completion of all modules and the Academic and Professional Portfolio. It is a requirement that each element of assessment within each module, apart from the research project, at level 7 be passed separately to achieve an overall pass for these modules and complete the course. For the research project module, it is not a requirement that any element of assessment is passed separately to achieve an overall pass. Please also check the variants in section 1 above.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fail to meet the MPharm assessment requirements at this point but have successfully completed 120 credits at Level 7 under the University’s Undergraduate Regulations (UR) are eligible for the award of Masters in Applied Pharmaceutical Sciences.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who fail to meet the MPharm pass requirements and fail to achieve 120 credits under UR regulations will be awarded a Bachelor of Science in Applied Pharmaceutical Sciences.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programme has been designed taking into account the KU inclusive curriculum design principles, United Nations Sustainability Goals, Future Skills and graduate attributes.  The GPhC Standards of Initial Education and Training of pharmacists underpins the curriculum. A range of different teaching and learning methods coupled to relevant assessment tasks are employed throughout the course.  Students not only need to gain knowledge of pharmacy, its practice and underpinning science, but they also need to develop key skills such as critical thinking, leadership, clinical skills, communications skills and professionalism. In addition, the e-portfolio records their achievements of competencies through experiential learning, simulations and placements which allows them to reflect, set goals and take action in relation to their own development and future plan. Students will attain graduate attributes such as problem solving and effective communication to explore complex challenges within working environments in healthcare.  This ensures graduates achieve the baseline consultation skills, prescribing attributes and confidence to build upon during their foundation year training.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Sustainability and inclusivity are embedded throughout the curriculum, tackling current topics such as global health, health inequalities and promoting good health and wellbeing for all.  Students are encouraged to develop creative thinking at various levels, including innovative ideas to combat health inequalities and designing and implementing public health campaigns and pharmacy services.  Interprofessional Learning (IPL) opportunities are spiralled throughout the curriculum for students to engage with and work collaboratively with other disciplines such as nursing.  Inclusive and accessible reading lists are provided for all modules.</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The course has been put together to be an integrated whole, where the ideas and concepts introduced in one module are reinforced in other modules either running concurrently or in later years, using a spiralling and progressive curriculum.  For example, at level 4, students will be trained in responding to symptoms over the counter and be able to apply this knowledge and skills during placements.  This will be built upon in subsequent levels, primarily in the Clinical Skills modules where they will obtain knowledge and skills in diagnosis and prescribing for more complex clinical problems.  Graduating students will have experience in consultation skills and confidence in applying clinical skills, clinical reasoning and problem solving and demonstrate professional attributes as expected by patients and the NHS, working across health systems, which will be built upon during the foundation training year.  </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methods are varied, linked to module level and designed to engage different learning styles.  Later modules rely more on independent directed study whereas in the early course more material is delivered via lectures. Lectures are inclusive and employ a range of styles including didactic, blended learning and flipped classroom approaches.  Workshops are used to reinforce learning and to develop group working and debate. In addition, Navigate, Explore and Apply workshops are embedded in the curriculum and interlinked to skills development within the discipline. All workshops serve as formative measures of progress in the module.  Practical work is closely related to the taught content and is used both formatively and summatively to develop manipulation skills, data collection and analysis.  Communication skills are developed through oral and poster presentations of lab work or literature research as well as role playing scenarios in various pharmacy settings, placements and simulated settings.  Role playing scenarios encourage students to engage in peer review and use constructive feedback strategies with each other. Case and scenario-based learning is used throughout the curriculum, using a diverse range of patients to enable students to see themselves reflected in the curriculum, for example, how skin conditions present on different skin colours.  Canvas and CAL packages are used as tools both to develop independent learning and for formative assessment.  The use of a virtual learning platform creates a more accessible curriculum.  Academic mentoring is offered to students to facilitate student learning and increase student success.</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Students participate in learning activities in simulation suites (dispensary and community pharmacy, hospital ward, GP surgery and consultation room) and placements across a variety of pharmacy settings, which occur as core activities in each level. The use of role players and Manikins in teaching enables students to apply their knowledge and skills in a safe learning environment with multiple opportunities for feedback. Simulation activities with other health care professional such as nursing and medical students reinforce the multi-disciplinary nature of patient care. Through the substantial experiential learning programme at each level, with placements in a variety of pharmacy and health care settings including community pharmacies, GP practices and hospitals, students are able to appreciate first-hand the varied role of pharmacists and additionally demonstrate and apply their knowledge, communication and consultation skills with patients and other health care professionals.  Students gain an appreciation of diverse patient needs and develop a holistic approach to practice by having placements in alternative healthcare settings such as nursing homes, blood and transplant centres, and neuro-rehabilitation centres, alongside dieticians, occupational therapists and phlebotomists. </w:t>
      </w:r>
      <w:r w:rsidRPr="2030048C">
        <w:rPr>
          <w:rFonts w:ascii="Arial" w:eastAsia="Arial" w:hAnsi="Arial" w:cs="Arial"/>
          <w:color w:val="111111"/>
          <w:sz w:val="24"/>
          <w:szCs w:val="24"/>
        </w:rPr>
        <w:t xml:space="preserve">The simulated workshops and the experiential learning opportunities are designed to help students to succeed during the course and beyond and enable them to meet the future skills requirements and achieve desired graduate attributes.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by a placement tutor at the university and have a designated supervisor at the placement site.  Adaptability to different settings and situations is a key attribute which will be developed through experiential learning.</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Research informs the teaching delivered as many staff are active in pursuing their own research activities.  Additionally, professionally registered staff also have continuing professional development obligations requiring that they are up to date with the latest innovations in their field.  Lecturers bring these developments to their classes.  Additionally, they run projects in their areas of expertise and give first hand instruction on research methods.  Final year MPharm students undertake a research project, some of which are associated with evaluating novel teaching sessions or delivery methods, enabling students to become involved with service evaluation and curriculum development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Assessment</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All modules except the final year project have either in-module or end of module exam, either stand alone or synoptic, to test knowledge and understanding.  Each level has a synoptic exam which </w:t>
      </w:r>
      <w:r w:rsidRPr="2030048C">
        <w:rPr>
          <w:rFonts w:ascii="Arial" w:eastAsia="Arial" w:hAnsi="Arial" w:cs="Arial"/>
          <w:sz w:val="24"/>
          <w:szCs w:val="24"/>
        </w:rPr>
        <w:t xml:space="preserve">reduces the assessment burden for students whilst testing </w:t>
      </w:r>
      <w:r w:rsidRPr="2030048C">
        <w:rPr>
          <w:rFonts w:ascii="Arial" w:eastAsia="Arial" w:hAnsi="Arial" w:cs="Arial"/>
          <w:sz w:val="24"/>
          <w:szCs w:val="24"/>
        </w:rPr>
        <w:t xml:space="preserve">the knowledge they have gained throughout the level covering multiple modules and core concepts which have been spiralled from previous levels. This promotes </w:t>
      </w:r>
      <w:r w:rsidRPr="2030048C">
        <w:rPr>
          <w:rFonts w:ascii="Arial" w:eastAsia="Arial" w:hAnsi="Arial" w:cs="Arial"/>
          <w:sz w:val="24"/>
          <w:szCs w:val="24"/>
        </w:rPr>
        <w:t>integration of knowledge and decision-making skills to demonstrate safe and effective prescribing and person-centred care.</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Throughout each module there are formative elements of assessment to enable students to track their </w:t>
      </w:r>
      <w:r w:rsidRPr="2030048C">
        <w:rPr>
          <w:rFonts w:ascii="Arial" w:eastAsia="Arial" w:hAnsi="Arial" w:cs="Arial"/>
          <w:sz w:val="24"/>
          <w:szCs w:val="24"/>
        </w:rPr>
        <w:t xml:space="preserve">progress.  These tasks are also designed to prepare for similar modes of summative assessment within the same module or feedforward to tasks in future modules, or during the GPhC foundation training year.  Assessment tasks, both formative and summative, develop key skills in communication, team working and independent learning.  Assessment is tracked via a calendar to spread workload and avoid bunching. The nature of assessment changes from tasks early in the course requiring information recall, to later stages where students are required to find, critically evaluate and represent information. Assessments are designed to demonstrate the required GPhC learning outcomes, and the types of assessment chosen are to reflect the learning outcomes at the expected levels of the Millers Triangle, as set by the GPhC (knows, knows how, shows how, does). Assessment tasks include in-module tests, written essays, laboratory reports, individual or group presentations, and patient consultations.  The final year allows specialisation through the research project in an area of the curriculum which has particularly captured the imagination of the student.  In addition, the final year allows them to pull together the knowledge and skills gained through multiple practical activities within and beyond the context of pharmacy.  </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To encourage student engagement, develop reflective learning and professionalism, each year students will be required to complete an academic and professional portfolio module.  This portfolio will consist of a number of activities typically consisting of meeting with personal tutors and inter-professional learning activities which all must be satisfactorily completed for the student to progress to the next level or in level 7 gain their MPharm.  </w:t>
      </w:r>
      <w:r w:rsidRPr="2030048C">
        <w:rPr>
          <w:rFonts w:ascii="Arial" w:eastAsia="Arial" w:hAnsi="Arial" w:cs="Arial"/>
          <w:color w:val="111111"/>
          <w:sz w:val="24"/>
          <w:szCs w:val="24"/>
        </w:rPr>
        <w:t xml:space="preserve">As part of the portfolio module, assessments are incorporated as detailed above which typically consist of a must pass calculation test plus an objective structured clinical examination (OSCE) at level 4, 5, 6 and 7. </w:t>
      </w:r>
    </w:p>
    <w:p w:rsidRPr="2030048C" w:rsidP="2030048C">
      <w:pPr>
        <w:rPr>
          <w:rFonts w:ascii="Arial" w:eastAsia="Arial" w:hAnsi="Arial" w:cs="Arial"/>
          <w:sz w:val="24"/>
          <w:szCs w:val="24"/>
        </w:rPr>
      </w:pPr>
      <w:r w:rsidRPr="2030048C">
        <w:rPr>
          <w:rFonts w:ascii="Arial" w:eastAsia="Arial" w:hAnsi="Arial" w:cs="Arial"/>
          <w:color w:val="111111"/>
          <w:sz w:val="24"/>
          <w:szCs w:val="24"/>
        </w:rPr>
        <w:t xml:space="preserve">The portfolio module at each level also has a list of workshops to build key skills, professionalism, learning techniques and enhance performance and employability, which students must attend.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Graduating students must meet the required competencies for clinical and diagnostic skills as outlined in the GPhC standards. Therefore, each year there is a requirement to complete placements and complete a reflective and competency-based e-portfolio. The placements and e-portfolio must be completed at each level in order to pass and progress to the next level and to graduate. The e-portfolio will list competencies that students need to demonstrate at each level and will integrate discipline outcomes with professional and graduate attributes. Students will receive formative feedback and will be able to discuss the e-portfolio with a designated tutor. Placements will take place throughout the year including holiday periods.   </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 xml:space="preserve">A Module Leader for each module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Director to help students understand the programme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personalised academic and pastoral support throughout their journey at Kingston with regular meetings throughout the year. Personal tutors help develop students’ ability to be self-reliant and self-reflective by fostering a close and engaged academic relationship with students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university placement tutor to ensure students understand how to prepare for placements and what needs to be completed during - placements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designated placement supervisor on site to ensure that students have guidance and support during the placement and related activities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An induction week at the beginning of each new academic year including a session to describe and explain progression through the course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giving all students the opportunity to feedback via course representatives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intranet and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Academic Success Centre that provides academic skills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 Mental health and disability team that offers drop-in appointments and online support guide from the Student Health and Wellbeing service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Union of Kingston Students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 xml:space="preserve">Careers and Employability Service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Students are encouraged to join the Royal Pharmaceutical Society (RPS) as a student member which is free and gives them access to a wide range of resources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KUPSA (Kingston University Pharmacy Students’ Association), offers wellbeing support, social events and professional development opportunities to fellow students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BPSA (British Pharmaceutical Students’ Association), the official student body of the Royal Pharmaceutical Society, offers free full membership to MPharm undergraduates and first year graduates. BPSA members are also members of the European Pharmaceutical Students’ Association (EPSA) and International Pharmaceutical Students’ Federation (IPSF).  Students can get involved in the profession, attend national and international conferences.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NAVIGATE, EXPLORE and APPLY workshops to support students in their learning</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 xml:space="preserve">New simulation units and placements encapsulating experiential learning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 xml:space="preserve">E-learning packages such as SCRIPT and MyDispense to increase accessibility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Students are encouraged to use LinkedIn Learning for personal development</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School Education Committee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Early Module Reviews (EMRs), level surveys, the Kingston Student Survey (KSS) and the National Student Survey (NSS) Moderation policies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GPhC reaccreditation on a regular basis including interim practice visits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Stakeholder meetings to inform the design and ongoing developments of the programme (Advisory Board)</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Quality assurance of placement providers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 xml:space="preserve">Briefing of placement supervisors to ensure students can meet the learning outcomes of the placement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feedback on their placement experience to identify any issues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Feedback from placement providers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11"/>
        <w:gridCol w:w="169"/>
        <w:gridCol w:w="1"/>
        <w:gridCol w:w="422"/>
        <w:gridCol w:w="1"/>
        <w:gridCol w:w="422"/>
        <w:gridCol w:w="1"/>
        <w:gridCol w:w="422"/>
        <w:gridCol w:w="1"/>
        <w:gridCol w:w="422"/>
        <w:gridCol w:w="1"/>
        <w:gridCol w:w="420"/>
        <w:gridCol w:w="2"/>
        <w:gridCol w:w="1"/>
        <w:gridCol w:w="422"/>
        <w:gridCol w:w="1"/>
        <w:gridCol w:w="422"/>
        <w:gridCol w:w="1"/>
        <w:gridCol w:w="422"/>
        <w:gridCol w:w="1"/>
        <w:gridCol w:w="422"/>
        <w:gridCol w:w="1"/>
        <w:gridCol w:w="418"/>
        <w:gridCol w:w="4"/>
        <w:gridCol w:w="1"/>
        <w:gridCol w:w="422"/>
        <w:gridCol w:w="1"/>
        <w:gridCol w:w="422"/>
        <w:gridCol w:w="1"/>
        <w:gridCol w:w="422"/>
        <w:gridCol w:w="1"/>
        <w:gridCol w:w="422"/>
        <w:gridCol w:w="1"/>
        <w:gridCol w:w="416"/>
        <w:gridCol w:w="6"/>
        <w:gridCol w:w="1"/>
        <w:gridCol w:w="422"/>
        <w:gridCol w:w="1"/>
        <w:gridCol w:w="422"/>
        <w:gridCol w:w="1"/>
        <w:gridCol w:w="422"/>
        <w:gridCol w:w="1"/>
        <w:gridCol w:w="4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PY4070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PY4060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PY4050</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PY4080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PY5051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PY5041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PY5021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PY6031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PY6151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PY6021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PY7000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PY7011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PY7031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PY7021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paragraph" w:customStyle="1" w:styleId="p">
    <w:name w:val="p"/>
    <w:basedOn w:val="Normal"/>
  </w:style>
  <w:style w:type="paragraph" w:customStyle="1" w:styleId="x">
    <w:name w:val="x"/>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0" Type="http://schemas.openxmlformats.org/officeDocument/2006/relationships/hyperlink" Target="https://www.officeforstudents.org.uk/media/53821cbf-5779-4380-bf2a-aa8f5c53ecd4/sector-recognised-standards.pdf%22"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kingston.ac.uk/international/studying-at-kingston/language-requirement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F27191B-B6E2-4EB4-8D70-5EAB8FD9FE0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