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MMus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in Music Performance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31/07/2014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Performing Arts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MMus</w:t>
            </w:r>
            <w:r w:rsidRPr="01DA1EA0">
              <w:rPr>
                <w:rFonts w:ascii="Arial" w:hAnsi="Arial" w:cs="Arial"/>
                <w:sz w:val="22"/>
                <w:szCs w:val="22"/>
              </w:rPr>
              <w:t xml:space="preserve"> </w:t>
            </w:r>
            <w:r w:rsidRPr="01DA1EA0">
              <w:rPr>
                <w:rFonts w:ascii="Arial" w:hAnsi="Arial" w:cs="Arial"/>
                <w:sz w:val="22"/>
                <w:szCs w:val="22"/>
              </w:rPr>
              <w:t>in Music Performance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Music Performance</w:t>
            </w:r>
            <w:r>
              <w:br/>
            </w:r>
            <w:r w:rsidRPr="01DA1EA0" w:rsidR="12C816DE">
              <w:rPr>
                <w:rFonts w:ascii="Arial" w:hAnsi="Arial" w:cs="Arial"/>
                <w:sz w:val="22"/>
                <w:szCs w:val="22"/>
              </w:rPr>
              <w:t>Postgraduate Certificate in Music Performance</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PPMUP1MUP01</w:t>
            </w:r>
          </w:p>
          <w:p w:rsidR="72431AC7" w:rsidP="01DA1EA0" w14:paraId="6CCD9CAD" w14:textId="7FB53094">
            <w:r w:rsidRPr="01DA1EA0">
              <w:rPr>
                <w:rFonts w:ascii="Arial" w:hAnsi="Arial" w:cs="Arial"/>
                <w:sz w:val="22"/>
                <w:szCs w:val="22"/>
              </w:rPr>
              <w:t>PFMUP1MUP01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good honours degree in music or another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need to demonstrate a good standard of performance (equivalent to II(i) at level 6) through the submission of a portfolio with links to an online video recorded performance.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(iBT) or equivalent is required for those for whom English is not their first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It may be necessary to get DBS (Disclosure and Barring Service) clearance if the student chooses one of the music education modules.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Music</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ind w:left="36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need to demonstrate a good standard of performance (equivalent to II(i) at level 6) through the submission of a portfolio with links to an online video-recorded performance.  </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coherent but flexible two-year part-time or one-year full-time Master’s programme for performers which will develop their musical and critical skills and knowledge to a level beyond that of first degree study.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lang w:val="en-US" w:eastAsia="en-US"/>
        </w:rPr>
      </w:pPr>
      <w:r w:rsidRPr="007C4290">
        <w:rPr>
          <w:rStyle w:val="normaltextrun"/>
          <w:rFonts w:ascii="Arial" w:hAnsi="Arial" w:cs="Arial"/>
          <w:color w:val="000000" w:themeColor="text1"/>
          <w:shd w:val="clear" w:color="auto" w:fill="FFFFFF"/>
          <w:lang w:val="en-US" w:eastAsia="en-US"/>
        </w:rPr>
        <w:t>To stimulate an inquiring mind and encourage initiative, critical evaluation and independence of thought which will allow continued autonomous development of music expertise and knowledge beyond graduate studies.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 systematic understanding of relevant musical knowledge, and a critical awareness of contemporary issues which is at, or informed by, the forefront of the discipline of music scholarship and performance.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knowledge of research practices in music and to enable students to undertake a substantial performance recital which is informed by research and theoretical knowledge.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postgraduate programme which can be taken by performers who specialise in a wide range of musical styles and genres, and to enable students both to deepen and to broaden their understanding of musical style.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xml:space="preserve">The programme outcomes are referenced to the QAA subject benchmarks for Music (UG), the Master’s Degree Characteristics (2020), the Frameworks for Higher Education Qualifications of UK Degree-Awarding Bodies (2014). The programme learning outcomes will have been achieved by all students receiving this award. They must align to the levels set out in </w:t>
      </w:r>
      <w:hyperlink r:id="rId9" w:tgtFrame="_blank" w:history="1">
        <w:r w:rsidRPr="007C4290">
          <w:rPr>
            <w:rStyle w:val="normaltextrun"/>
            <w:rFonts w:ascii="Arial" w:hAnsi="Arial" w:cs="Arial"/>
            <w:color w:val="000000" w:themeColor="text1"/>
            <w:sz w:val="22"/>
            <w:szCs w:val="22"/>
            <w:shd w:val="clear" w:color="auto" w:fill="FFFFFF"/>
            <w:lang w:val="en-US" w:eastAsia="en-US"/>
          </w:rPr>
          <w:t>‘Sector Recognised Standards in England’</w:t>
        </w:r>
      </w:hyperlink>
      <w:r w:rsidRPr="007C4290">
        <w:rPr>
          <w:rStyle w:val="normaltextrun"/>
          <w:rFonts w:ascii="Arial" w:hAnsi="Arial" w:cs="Arial"/>
          <w:color w:val="000000" w:themeColor="text1"/>
          <w:sz w:val="22"/>
          <w:szCs w:val="22"/>
          <w:shd w:val="clear" w:color="auto" w:fill="FFFFFF"/>
          <w:lang w:val="en-US" w:eastAsia="en-US"/>
        </w:rPr>
        <w:t xml:space="preserve"> (OFS 2022).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In addition to the programme learning outcomes, the programme of study will allow students to develop the following range of Graduate Attributes: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Creative Problem Solving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Digital Competency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Enterprise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Questioning Mindset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Adaptability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Empathy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Collaboration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Resilience  </w:t>
      </w:r>
    </w:p>
    <w:p w:rsidRPr="007C4290" w:rsidP="00917A90">
      <w:pPr>
        <w:numPr>
          <w:ilvl w:val="0"/>
          <w:numId w:val="14"/>
        </w:numPr>
        <w:ind w:left="720" w:hanging="360"/>
        <w:jc w:val="left"/>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Self-Awareness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The programme provides opportunities for students to develop and demonstrate skills, knowledge and understanding, as well as other attributes, in the following areas.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of a broad range of issues which underpin current research in music;</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handle complex issues both systematically and creatively, and communicate their findings clearly and succinctly both in writing and in performance;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high level of presentational competence and organisation in their written work;</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and understanding of issues of performance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high degree of critical awareness in relation to their own work and that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high order technical, interpretive, and communication skills in music performance.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thorough understanding of research methods;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self-direction and originality in tackling and solving problems, and act autonomously in planning, rehearsing and delivering a substantial performance recital;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high level of presentational competence in their music performance;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impact on performance of the aesthetics and psychology of musical communication.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link knowledge of performance theory to practice and use it to justify creative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full-time/part-time mode and leads to the award of MMus Music Performance.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E1. Professional and Statutory Regulatory Bodies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None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E2. Outline Programme Structure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The programme is made up of four modules each worth 30 credit points and the Major Project which is 60 credits.  Part time students take 3x30 credit modules in Year 1 and 1x30 credit module and the Major Project (60 credits) in their second year.    All students will be provided with the University regulations. Full details of each module will be provided in module descriptors and student module guides.  </w:t>
      </w:r>
    </w:p>
    <w:p w:rsidRPr="66934EB1" w:rsidP="66934EB1">
      <w:pPr>
        <w:rPr>
          <w:rFonts w:ascii="Arial" w:eastAsia="Arial" w:hAnsi="Arial" w:cs="Arial"/>
          <w:color w:val="000000" w:themeColor="text1"/>
          <w:sz w:val="22"/>
          <w:szCs w:val="22"/>
          <w:lang w:val="en-US" w:eastAsia="en-US"/>
        </w:rPr>
      </w:pPr>
      <w:r w:rsidRPr="66934EB1">
        <w:rPr>
          <w:rFonts w:ascii="Arial" w:eastAsia="Arial" w:hAnsi="Arial" w:cs="Arial"/>
          <w:color w:val="000000" w:themeColor="text1"/>
          <w:sz w:val="22"/>
          <w:szCs w:val="22"/>
          <w:lang w:val="en-US" w:eastAsia="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MMus</w:t>
      </w:r>
      <w:r w:rsidRPr="66934EB1">
        <w:rPr>
          <w:rFonts w:ascii="Calibri Light" w:eastAsia="Calibri Light" w:hAnsi="Calibri Light" w:cs="Calibri Light"/>
        </w:rPr>
        <w:t xml:space="preserve"> </w:t>
      </w:r>
      <w:r w:rsidRPr="66934EB1">
        <w:rPr>
          <w:rFonts w:ascii="Calibri Light" w:eastAsia="Calibri Light" w:hAnsi="Calibri Light" w:cs="Calibri Light"/>
        </w:rPr>
        <w:t>in Music Performance</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MMus</w:t>
            </w:r>
            <w:r w:rsidRPr="66934EB1">
              <w:rPr>
                <w:rFonts w:ascii="Arial" w:eastAsia="Arial" w:hAnsi="Arial" w:cs="Arial"/>
                <w:b/>
                <w:bCs/>
              </w:rPr>
              <w:t xml:space="preserve"> </w:t>
            </w:r>
            <w:r w:rsidRPr="66934EB1">
              <w:rPr>
                <w:rFonts w:ascii="Arial" w:eastAsia="Arial" w:hAnsi="Arial" w:cs="Arial"/>
                <w:b/>
                <w:bCs/>
              </w:rPr>
              <w:t>in Music Performance</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Critical Aspects of Performance Presentation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MU7016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Performance Studies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Researching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 xml:space="preserve"> Advanced Production of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MU7006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Composing and Marketing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Constructing Music Education in the UK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International Music Education Psychology, Culture and Philosophy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p>
        </w:tc>
      </w:tr>
      <w:tr w14:paraId="21361E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Score and Screen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Techniques and Technology for Composing for Film and Television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tbl>
      <w:tblPr>
        <w:tblCellSpacing w:w="15" w:type="dxa"/>
        <w:tblCellMar>
          <w:top w:w="15" w:type="dxa"/>
          <w:left w:w="15" w:type="dxa"/>
          <w:bottom w:w="15" w:type="dxa"/>
          <w:right w:w="15" w:type="dxa"/>
        </w:tblCellMar>
      </w:tblPr>
      <w:tblGrid>
        <w:gridCol w:w="4063"/>
        <w:gridCol w:w="830"/>
        <w:gridCol w:w="563"/>
        <w:gridCol w:w="508"/>
        <w:gridCol w:w="918"/>
        <w:gridCol w:w="886"/>
        <w:gridCol w:w="548"/>
        <w:gridCol w:w="575"/>
      </w:tblGrid>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7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MMus in Music Performance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Core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Module code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Credit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Value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Teaching Block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Pre-requisites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Full Time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Part Time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Critical Aspects of Performance Presentation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Major Project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60 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lang w:val="en-US" w:eastAsia="en-US"/>
              </w:rPr>
            </w:pPr>
            <w:r w:rsidRPr="66934EB1">
              <w:rPr>
                <w:rStyle w:val="normaltextrun"/>
                <w:rFonts w:ascii="Arial" w:eastAsia="Arial" w:hAnsi="Arial" w:cs="Arial"/>
                <w:color w:val="000000" w:themeColor="text1"/>
                <w:sz w:val="20"/>
                <w:szCs w:val="20"/>
                <w:lang w:val="en-US" w:eastAsia="en-US"/>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Performance Studies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MU7003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Researching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Optional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 Advanced Production of Popular Music (v1 2019-20)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Composing and Marketing Popular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Constructing Music Education in the UK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MU7005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International Music Education Psychology, Culture and Philosophy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MU7004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Score and Screen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Techniques and Technology for Composing for Film and Television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MU7008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r>
    </w:tbl>
    <w:p w:rsidR="035B6837" w:rsidP="66934EB1" w14:paraId="31CC0753"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lang w:val="en-US" w:eastAsia="en-US"/>
        </w:rPr>
      </w:pPr>
      <w:r w:rsidRPr="503DC450">
        <w:rPr>
          <w:rFonts w:ascii="Arial" w:hAnsi="Arial" w:cs="Arial"/>
          <w:sz w:val="22"/>
          <w:szCs w:val="22"/>
          <w:lang w:val="en-US" w:eastAsia="en-US"/>
        </w:rPr>
        <w:t>The teaching and learning strategies are designed to facilitate the development of music performance skills through the study of performance practice, authenticity, contemporary performance, analysis of performance, the psychology of performance and individual instrumental tuition leading to the recitals to develop informed, skilled and insightful practitioners across a wide range of musical genres.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Students will also study a common core of Researching Music and select one optional module from a wide range of music topics and/or closely related subjects. The learning experience will culminate in a substantial research project in the form of a solo recital or conducted performance of 45 minutes with a related research paper. Tutor guidance will be provided to support module selection to ensure a balanced programme.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The philosophy of the learning and teaching strategy is based on the notion of the integration of theory and practice, with student participation central to course delivery. Students are encouraged to engage in debate and critique and to enhance their skills as independent learners through individual research and composition. The main foci of the teaching are on the student skill development of research, technique and interpretation, critical reflection and analysis, and performance presentation.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 variety of learning and teaching methods is central to the delivery of the MMus Music Performance at Kingston. Strategies include: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Lecture;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Seminar;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Workshop and practical demonstration;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Studio–based work;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Professional recording session; </w:t>
      </w:r>
    </w:p>
    <w:p w:rsidRPr="503DC450" w:rsidP="007D20BC">
      <w:pPr>
        <w:numPr>
          <w:ilvl w:val="0"/>
          <w:numId w:val="15"/>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Individual tutorial.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Keynote lectures will be used to introduce topics and to disseminate key information, both theoretical and practical. Performance workshops and individual instrumental tuition will be complemented by masterclasses led by performers from within the profession. These will be central to the delivery of the MMus Music Performance where first-hand engagement is critical. Students will be supported in the development of self- and peer-assessment skills through critiquing their own performances and those of others. This process has the added benefit of offering continual formative feedback.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Workshops and studio-based work will be central to the delivery of the optional modules focusing on performance, composition, and music technology, where hands-on experience is integral.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The performance based Major Project enables the student to plan, prepare and present a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 45-minute recital with a written complementary commentary and critical analysis.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Students are expected to take responsibility for their own learning in terms of background research, practical preparation, and to work independently and self critically. Students are allocated both a performance tutor and a specialist supervisor, who will support them in the development of their project. Individual tutorials will provide advice, for example, on critical self-evaluation of performance and developing their written submission.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In addition to face-to-face contact between students and teaching staff, a virtual learning environment (Canvas) will provide students with access to a range of materials for each module. These materials will typically include the module guide, lecture slides and handouts, audio-visual material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Assessment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 Students will be provided with formative assessment opportunities throughout the course to practise and develop their proficiency in the range of assessment methods utilised.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In summary, the nature of the assessment of the course will utilise a combination of: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Annotated bibliography;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Academic debate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Critique /Critical review;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Essay;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Performance;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Portfolio of Compositions / Recordings;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Position paper;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Practical project: planning, implementation and evaluation;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Live and pre-recorded Presentations;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Recording Project (proposal, documentation and recordings); </w:t>
      </w:r>
    </w:p>
    <w:p w:rsidRPr="503DC450" w:rsidP="007D20BC">
      <w:pPr>
        <w:numPr>
          <w:ilvl w:val="0"/>
          <w:numId w:val="16"/>
        </w:numPr>
        <w:ind w:left="720" w:hanging="360"/>
        <w:jc w:val="left"/>
        <w:rPr>
          <w:rFonts w:ascii="Arial" w:hAnsi="Arial" w:cs="Arial"/>
          <w:sz w:val="22"/>
          <w:szCs w:val="22"/>
          <w:lang w:val="en-US" w:eastAsia="en-US"/>
        </w:rPr>
      </w:pPr>
      <w:r w:rsidRPr="503DC450">
        <w:rPr>
          <w:rFonts w:ascii="Arial" w:hAnsi="Arial" w:cs="Arial"/>
          <w:sz w:val="22"/>
          <w:szCs w:val="22"/>
          <w:lang w:val="en-US" w:eastAsia="en-US"/>
        </w:rPr>
        <w:t>Research paper.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Practical formative and summative assessments take the form of a public solo or ensemble performance/direction in a variety of locations relevant to the nature of music to be assessed e.g. public recital, lunchtime concert, simulated rehearsal, or ‘gig’ (for popular music performance). Students are required to demonstrate technical competence, musicality, stagecraft, and ensemble skills (where relevant), and in many cases to write a critical reflection on their performance.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The MMus in Music Performance culminates in a 45-minute recital with written complementary commentary and critical analysis. This enables to the student undertake the programming, preparation, and professional presentation of the project involving a high level of individual practice and critical reflection by the student. </w:t>
      </w:r>
    </w:p>
    <w:p w:rsidRPr="503DC450" w:rsidP="007D20BC">
      <w:pPr>
        <w:rPr>
          <w:rFonts w:ascii="Arial" w:hAnsi="Arial" w:cs="Arial"/>
          <w:sz w:val="22"/>
          <w:szCs w:val="22"/>
          <w:lang w:val="en-US" w:eastAsia="en-US"/>
        </w:rPr>
      </w:pPr>
      <w:r w:rsidRPr="503DC450">
        <w:rPr>
          <w:rFonts w:ascii="Arial" w:hAnsi="Arial" w:cs="Arial"/>
          <w:sz w:val="22"/>
          <w:szCs w:val="22"/>
          <w:lang w:val="en-US" w:eastAsia="en-US"/>
        </w:rPr>
        <w: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will be introduced to the nature of teaching and learning as part of the induction process and are supported by: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 Module Leader for each module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Pre-sessional and year-long English language development programme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Bespoke language and academic writing support for core music research and music education modules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2"/>
          <w:szCs w:val="22"/>
        </w:rPr>
        <w:t>One-to-one writing support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 placement tutor to give general advice on placements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Technical support to advise students on IT and the technical operation of the studios and to advise and support them in the creation of curricular and extra-curricular studio projects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 designated Course Administrator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2"/>
          <w:szCs w:val="22"/>
        </w:rPr>
        <w:t>Staff Student Consultative Committee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LinkedIn Learning and Skills For Study – online platforms offering self-paced software tutorials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A substantial Academic Success Centre that provides academic skills support for both UG and PG students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w:t>
      </w:r>
    </w:p>
    <w:p w:rsidRPr="503DC450" w:rsidP="00B40E99">
      <w:pPr>
        <w:numPr>
          <w:ilvl w:val="0"/>
          <w:numId w:val="20"/>
        </w:numPr>
        <w:ind w:left="720" w:hanging="360"/>
        <w:jc w:val="left"/>
        <w:rPr>
          <w:rFonts w:ascii="Arial" w:hAnsi="Arial" w:cs="Arial"/>
          <w:sz w:val="22"/>
          <w:szCs w:val="22"/>
        </w:rPr>
      </w:pPr>
      <w:r w:rsidRPr="503DC450">
        <w:rPr>
          <w:rFonts w:ascii="Arial" w:hAnsi="Arial" w:cs="Arial"/>
          <w:sz w:val="22"/>
          <w:szCs w:val="22"/>
        </w:rPr>
        <w:t>A Student Achievement Officer who provides pastoral support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Disability and Mental Health support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The Union of Kingston Students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Careers and Employability Services Team </w:t>
      </w:r>
    </w:p>
    <w:p w:rsidRPr="503DC450" w:rsidP="00B40E99">
      <w:pPr>
        <w:numPr>
          <w:ilvl w:val="0"/>
          <w:numId w:val="21"/>
        </w:numPr>
        <w:ind w:left="720" w:hanging="360"/>
        <w:jc w:val="left"/>
        <w:rPr>
          <w:rFonts w:ascii="Arial" w:hAnsi="Arial" w:cs="Arial"/>
          <w:sz w:val="22"/>
          <w:szCs w:val="22"/>
        </w:rPr>
      </w:pPr>
      <w:r w:rsidRPr="503DC450">
        <w:rPr>
          <w:rFonts w:ascii="Arial" w:hAnsi="Arial" w:cs="Arial"/>
          <w:sz w:val="22"/>
          <w:szCs w:val="22"/>
        </w:rPr>
        <w:t>Faculty-aligned Careers Advisers who run workshops, weekly drop-ins and 1:1 appointments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Student representation at the Course, School and Faculty levels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School Education Committee with student representation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Student evaluation including Early Module Reviews and MEQs (Module Evaluation Questionnaires) for each module and a PTES (Postgraduate Taught Experience Survey) </w:t>
      </w:r>
    </w:p>
    <w:p w:rsidRPr="503DC450" w:rsidP="00A92C9B">
      <w:pPr>
        <w:numPr>
          <w:ilvl w:val="0"/>
          <w:numId w:val="23"/>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24"/>
        </w:numPr>
        <w:ind w:left="720" w:hanging="360"/>
        <w:jc w:val="left"/>
        <w:rPr>
          <w:rFonts w:ascii="Arial" w:hAnsi="Arial" w:cs="Arial"/>
          <w:sz w:val="22"/>
          <w:szCs w:val="22"/>
        </w:rPr>
      </w:pPr>
      <w:r w:rsidRPr="503DC450">
        <w:rPr>
          <w:rFonts w:ascii="Arial" w:hAnsi="Arial" w:cs="Arial"/>
          <w:sz w:val="22"/>
          <w:szCs w:val="22"/>
        </w:rPr>
        <w:t>Feedback from employers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 A high proportion of MMus Music Performance students obtain employment on graduation in the music profession, teaching, subjects allied to music or enrol for further study e.g. PGCE, MPhil, or Ph.D. either at home or abroad. For those students who are already in employment and are undertaking the MMus Music Performance in a part-time mode, the award may accelerate promotion and open new opportunities. </w:t>
      </w:r>
    </w:p>
    <w:p w:rsidRPr="503DC450" w:rsidP="001A372B">
      <w:pPr>
        <w:rPr>
          <w:rFonts w:ascii="Arial" w:hAnsi="Arial" w:cs="Arial"/>
          <w:sz w:val="22"/>
          <w:szCs w:val="22"/>
          <w:lang w:val="en-US" w:eastAsia="en-US"/>
        </w:rPr>
      </w:pPr>
      <w:r w:rsidRPr="503DC450">
        <w:rPr>
          <w:rFonts w:ascii="Arial" w:hAnsi="Arial" w:cs="Arial"/>
          <w:sz w:val="22"/>
          <w:szCs w:val="22"/>
          <w:lang w:val="en-US" w:eastAsia="en-US"/>
        </w:rPr>
        <w:t> </w:t>
      </w:r>
    </w:p>
    <w:p w:rsidRPr="503DC450" w:rsidP="001A372B">
      <w:pPr>
        <w:rPr>
          <w:rFonts w:ascii="Arial" w:hAnsi="Arial" w:cs="Arial"/>
          <w:sz w:val="22"/>
          <w:szCs w:val="22"/>
          <w:lang w:val="en-US" w:eastAsia="en-US"/>
        </w:rPr>
      </w:pPr>
      <w:r w:rsidRPr="503DC450">
        <w:rPr>
          <w:rFonts w:ascii="Arial" w:hAnsi="Arial" w:cs="Arial"/>
          <w:sz w:val="22"/>
          <w:szCs w:val="22"/>
          <w:lang w:val="en-US" w:eastAsia="en-US"/>
        </w:rPr>
        <w:t>The particular nature of Postgraduate study in Music at Kingston, combining theoretical knowledge and practical skills, offers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 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b/>
          <w:bCs/>
          <w:sz w:val="22"/>
          <w:szCs w:val="22"/>
        </w:rPr>
        <w:t>Course page on the KU website:</w:t>
      </w:r>
    </w:p>
    <w:p w:rsidRPr="503DC450" w:rsidP="00A92C9B">
      <w:pPr>
        <w:ind w:left="360"/>
        <w:rPr>
          <w:rFonts w:ascii="Arial" w:hAnsi="Arial" w:cs="Arial"/>
          <w:sz w:val="22"/>
          <w:szCs w:val="22"/>
        </w:rPr>
      </w:pPr>
      <w:hyperlink r:id="rId11" w:history="1">
        <w:r w:rsidRPr="503DC450">
          <w:rPr>
            <w:rFonts w:ascii="Arial" w:hAnsi="Arial" w:cs="Arial"/>
            <w:sz w:val="22"/>
            <w:szCs w:val="22"/>
            <w:u w:val="single"/>
          </w:rPr>
          <w:t>https://www.kingston.ac.uk/postgraduate-course/music-performance-mmus/</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8"/>
        <w:gridCol w:w="316"/>
        <w:gridCol w:w="817"/>
        <w:gridCol w:w="817"/>
        <w:gridCol w:w="817"/>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postgraduate-course/music-performance-mmu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B022314-4702-4215-94C7-758B76B468D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