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MMus</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Composing for Film and TV</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31/07/2014</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15/01/2024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5</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Arts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Performing Arts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MMus</w:t>
            </w:r>
            <w:r w:rsidRPr="01DA1EA0">
              <w:rPr>
                <w:rFonts w:ascii="Arial" w:hAnsi="Arial" w:cs="Arial"/>
                <w:sz w:val="22"/>
                <w:szCs w:val="22"/>
              </w:rPr>
              <w:t xml:space="preserve"> </w:t>
            </w:r>
            <w:r w:rsidRPr="01DA1EA0">
              <w:rPr>
                <w:rFonts w:ascii="Arial" w:hAnsi="Arial" w:cs="Arial"/>
                <w:sz w:val="22"/>
                <w:szCs w:val="22"/>
              </w:rPr>
              <w:t>Composing for Film and TV</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Diploma in Composing for Film and TV</w:t>
            </w:r>
            <w:r>
              <w:br/>
            </w:r>
            <w:r w:rsidRPr="01DA1EA0" w:rsidR="12C816DE">
              <w:rPr>
                <w:rFonts w:ascii="Arial" w:hAnsi="Arial" w:cs="Arial"/>
                <w:sz w:val="22"/>
                <w:szCs w:val="22"/>
              </w:rPr>
              <w:t>Postgraduate Certificate in Composing for Film and TV</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PPCFT1CFT02</w:t>
            </w:r>
          </w:p>
          <w:p w:rsidR="72431AC7" w:rsidP="01DA1EA0" w14:paraId="6CCD9CAD" w14:textId="7FB53094">
            <w:r w:rsidRPr="01DA1EA0">
              <w:rPr>
                <w:rFonts w:ascii="Arial" w:hAnsi="Arial" w:cs="Arial"/>
                <w:sz w:val="22"/>
                <w:szCs w:val="22"/>
              </w:rPr>
              <w:t>PFCFT1CFT01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good honours degree in music or another relevant subject.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Applicants will also need to demonstrate a high level of compositional ability and technical knowledge through the submission of a folio of work (three contrasting recordings and scores).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score of 6.5, TOEFL 88 (iBT) or equivalent is required for those for whom English is not their first language.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It may be necessary to get DBS (Disclosure and Barring Service) clearance if the student chooses one of the music education modules as an option.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widowControl w:val="0"/>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widowControl w:val="0"/>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Music</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None</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Applicants will also need to demonstrate a high level of compositional ability and technical knowledge through the submission of a folio of work (three contrasting recordings and scores). </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 coherent but flexible two-year part-time or one-year full-time Master’s programme for composers writing to moving image, which will develop their compositional, technical and critical skills and knowledge to a level beyond that of first degree study.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lang w:val="en-US" w:eastAsia="en-US"/>
        </w:rPr>
      </w:pPr>
      <w:r w:rsidRPr="007C4290">
        <w:rPr>
          <w:rStyle w:val="normaltextrun"/>
          <w:rFonts w:ascii="Arial" w:hAnsi="Arial" w:cs="Arial"/>
          <w:color w:val="000000" w:themeColor="text1"/>
          <w:shd w:val="clear" w:color="auto" w:fill="FFFFFF"/>
          <w:lang w:val="en-US" w:eastAsia="en-US"/>
        </w:rPr>
        <w:t>To stimulate an inquiring mind and encourage initiative, critical evaluation and independence of thought which will allow continued autonomous development of music expertise and knowledge beyond graduate studies.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an understanding of relevant musical knowledge, and a critical awareness of contemporary issues which is at, or informed by, the forefront of the discipline of music scholarship and professional practice.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5"/>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 programme which fulfils the professional needs of Film and TV composers by providing knowledge of technology and its use, experience of collaboration with directors and musicians, and knowledge of business practices. </w:t>
      </w:r>
    </w:p>
    <w:p w:rsidRPr="007C4290" w:rsidP="00A92C9B">
      <w:pPr>
        <w:pStyle w:val="ColorfulList-Accent11"/>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The programme outcomes are referenced to the QAA subject benchmarks for Music (UG), the Master’s Degree Characteristics (2020), the Frameworks for Higher Education Qualifications of UK Degree-Awarding Bodies (2014). The programme learning outcomes will have been achieved by all students receiving this award. They must align to the levels set out in </w:t>
      </w:r>
      <w:hyperlink r:id="rId9" w:tgtFrame="_blank" w:history="1">
        <w:r w:rsidRPr="007C4290">
          <w:rPr>
            <w:rStyle w:val="normaltextrun"/>
            <w:rFonts w:ascii="Arial" w:hAnsi="Arial" w:cs="Arial"/>
            <w:color w:val="000000" w:themeColor="text1"/>
            <w:sz w:val="22"/>
            <w:szCs w:val="22"/>
            <w:shd w:val="clear" w:color="auto" w:fill="FFFFFF"/>
          </w:rPr>
          <w:t>‘Sector Recognised Standards in England’</w:t>
        </w:r>
      </w:hyperlink>
      <w:r w:rsidRPr="007C4290">
        <w:rPr>
          <w:rStyle w:val="normaltextrun"/>
          <w:rFonts w:ascii="Arial" w:hAnsi="Arial" w:cs="Arial"/>
          <w:color w:val="000000" w:themeColor="text1"/>
          <w:sz w:val="22"/>
          <w:szCs w:val="22"/>
          <w:shd w:val="clear" w:color="auto" w:fill="FFFFFF"/>
        </w:rPr>
        <w:t xml:space="preserve"> (OFS 2022).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In addition to the programme learning outcomes, the programme of study will allow students to develop the following range of Graduate Attributes:   </w:t>
      </w:r>
    </w:p>
    <w:p w:rsidRPr="007C4290" w:rsidP="00917A90">
      <w:pPr>
        <w:numPr>
          <w:ilvl w:val="0"/>
          <w:numId w:val="16"/>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Creative Problem Solving  </w:t>
      </w:r>
    </w:p>
    <w:p w:rsidRPr="007C4290" w:rsidP="00917A90">
      <w:pPr>
        <w:numPr>
          <w:ilvl w:val="0"/>
          <w:numId w:val="16"/>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Digital Competency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Enterprise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Questioning Mindset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Adaptability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Empathy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Collaboration  </w:t>
      </w:r>
    </w:p>
    <w:p w:rsidRPr="007C4290" w:rsidP="00917A90">
      <w:pPr>
        <w:numPr>
          <w:ilvl w:val="0"/>
          <w:numId w:val="18"/>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Resilience  </w:t>
      </w:r>
    </w:p>
    <w:p w:rsidRPr="007C4290" w:rsidP="00917A90">
      <w:pPr>
        <w:numPr>
          <w:ilvl w:val="0"/>
          <w:numId w:val="18"/>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Self-Awareness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The programme provides opportunities for students to develop and demonstrate skills, knowledge and understanding, as well as other attributes, in the following areas.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thorough understanding of research methods in music, and knowledge of some current issues in music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demonstrate imagination and originality in responding to moving image through composition.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work within the discipline of a brief, manage a project and construct a budget, taking account of the business and legal issues involved in writing music for broadcast.</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produce relevant film scores which demonstrate a thorough knowledge of music notation;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analyse film music and critically evaluate its effectiveness, and apply the knowledge and understanding of musical contexts gained to their own work;</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produce professional quality soundtracks and recordings;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knowledge and understanding of orchestration/arrangement in relation to working to picture;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handle complex issues both systematically and creatively, and communicate their findings clearly and succinctly;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work effectively with other musicians;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thorough knowledge of the techniques of composition required for composing for film and TV, and understanding of the role of music in relation to moving image;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a high degree of critical awareness in relation to their own work and that of others;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high level practical and technical skills in relation to composition and studio production;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thorough knowledge and understanding of the industry-standard music technology used for composing for film and TV;</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self-direction and originality in tackling and solving problems, and act autonomously in planning and implementing projects at a professional level;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professional skills (including self-presentation, communication, interpersonal/teamwork, research and information literacy, numeracy, time-management and project-planning, management and leadership skills, and ethical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programme is made up of four modules each worth 30 credit points and the Major Project which is 60 credits.  Part time students take 3x30 credit modules in Year 1 and 1x30 credit module and the Major Project (60 credits) in their second year.    All students will be provided with the University regulations. Full details of each module will be provided in module descriptors and student module guides.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MMus</w:t>
      </w:r>
      <w:r w:rsidRPr="66934EB1">
        <w:rPr>
          <w:rFonts w:ascii="Calibri Light" w:eastAsia="Calibri Light" w:hAnsi="Calibri Light" w:cs="Calibri Light"/>
        </w:rPr>
        <w:t xml:space="preserve"> </w:t>
      </w:r>
      <w:r w:rsidRPr="66934EB1">
        <w:rPr>
          <w:rFonts w:ascii="Calibri Light" w:eastAsia="Calibri Light" w:hAnsi="Calibri Light" w:cs="Calibri Light"/>
        </w:rPr>
        <w:t>Composing for Film and TV</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MMus</w:t>
            </w:r>
            <w:r w:rsidRPr="66934EB1">
              <w:rPr>
                <w:rFonts w:ascii="Arial" w:eastAsia="Arial" w:hAnsi="Arial" w:cs="Arial"/>
                <w:b/>
                <w:bCs/>
              </w:rPr>
              <w:t xml:space="preserve"> </w:t>
            </w:r>
            <w:r w:rsidRPr="66934EB1">
              <w:rPr>
                <w:rFonts w:ascii="Arial" w:eastAsia="Arial" w:hAnsi="Arial" w:cs="Arial"/>
                <w:b/>
                <w:bCs/>
              </w:rPr>
              <w:t>Composing for Film and TV</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MU7012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Researching Music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MU7001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Score and Screen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MU7017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Techniques and Technology for Composing for Film and Television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MU7008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 xml:space="preserve"> Advanced Production of Popular Music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MU7006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Composing and Marketing Popular Music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Constructing Music Education in the UK</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Critical Aspects of Performance Presentation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MU7016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International Music Education Psychology, Culture and Philosophy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Performance Studies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tbl>
      <w:tblPr>
        <w:tblCellSpacing w:w="15" w:type="dxa"/>
        <w:tblCellMar>
          <w:top w:w="15" w:type="dxa"/>
          <w:left w:w="15" w:type="dxa"/>
          <w:bottom w:w="15" w:type="dxa"/>
          <w:right w:w="15" w:type="dxa"/>
        </w:tblCellMar>
      </w:tblPr>
      <w:tblGrid>
        <w:gridCol w:w="4063"/>
        <w:gridCol w:w="830"/>
        <w:gridCol w:w="563"/>
        <w:gridCol w:w="508"/>
        <w:gridCol w:w="918"/>
        <w:gridCol w:w="886"/>
        <w:gridCol w:w="548"/>
        <w:gridCol w:w="575"/>
      </w:tblGrid>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Level 7 </w:t>
            </w: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MMus Composing for Film and TV </w:t>
            </w: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Core modules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Module code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Credit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Value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Level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Teaching Block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Pre-requisites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Full Time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Part Time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Major Project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MU7012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60 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Researching Music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1&amp;2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Score and Screen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MU7017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Techniques and Technology for Composing for Film and Television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MU7008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Optional Modules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 Advanced Production of Popular Music (v1 2019-20)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MU7006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Composing and Marketing Popular Music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Constructing Music Education in the UK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MU7005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Critical Aspects of Performance Presentation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MU7016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1&amp;2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International Music Education Psychology, Culture and Philosophy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MU7004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Performance Studies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MU7003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1&amp;2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bl>
    <w:p w:rsidR="035B6837" w:rsidP="66934EB1" w14:paraId="31CC0753"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Teaching and Learning </w:t>
      </w:r>
    </w:p>
    <w:p w:rsidRPr="503DC450" w:rsidP="007D20BC">
      <w:pPr>
        <w:rPr>
          <w:rFonts w:ascii="Arial" w:hAnsi="Arial" w:cs="Arial"/>
          <w:sz w:val="22"/>
          <w:szCs w:val="22"/>
        </w:rPr>
      </w:pPr>
      <w:r w:rsidRPr="503DC450">
        <w:rPr>
          <w:rFonts w:ascii="Arial" w:hAnsi="Arial" w:cs="Arial"/>
          <w:sz w:val="22"/>
          <w:szCs w:val="22"/>
        </w:rPr>
        <w:t>The teaching and learning strategy are designed to facilitate the development of skills in composing music to a variety of different types of moving image and offers the opportunity to work alongside filmmakers, screen designers and animators. Students will also study the aesthetics and functions of music composed to image, exploring the relationship(s) between the composer and producer, director and music editor. Students will also study a common core of Researching Music and select one optional module from a wide range of music topics and/or closely related subjects. The learning experience will culminate in a substantial research project in the form of original compositions to moving image. Tutor guidance will be provided to support module selection to ensure a balanced programme.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rPr>
      </w:pPr>
      <w:r w:rsidRPr="503DC450">
        <w:rPr>
          <w:rFonts w:ascii="Arial" w:hAnsi="Arial" w:cs="Arial"/>
          <w:sz w:val="22"/>
          <w:szCs w:val="22"/>
        </w:rPr>
        <w:t>The philosophy of the learning and teaching strategy is based on the notion of the integration of theory and practice, with student participation central to course delivery. Students are encouraged to engage in debate and critique and to enhance their skills as independent learners through individual research and composition. The main foci of the teaching are on the development of the students' research skills, compositional techniques, practical studio skills, and critical analytical tools, so that they can develop autonomy in their learning. In addition, students will be supported in the development of their own informed and original creative voice, taking into account recent and current research as well as industry and artistic practices.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A variety of learning and teaching methods is central to the delivery of the MMus Composing for Film and TV at Kingston. Strategies include: </w:t>
      </w:r>
    </w:p>
    <w:p w:rsidRPr="503DC450" w:rsidP="007D20BC">
      <w:pPr>
        <w:numPr>
          <w:ilvl w:val="0"/>
          <w:numId w:val="19"/>
        </w:numPr>
        <w:ind w:left="720" w:hanging="360"/>
        <w:jc w:val="left"/>
        <w:rPr>
          <w:rFonts w:ascii="Arial" w:hAnsi="Arial" w:cs="Arial"/>
          <w:sz w:val="22"/>
          <w:szCs w:val="22"/>
        </w:rPr>
      </w:pPr>
      <w:r w:rsidRPr="503DC450">
        <w:rPr>
          <w:rFonts w:ascii="Arial" w:hAnsi="Arial" w:cs="Arial"/>
          <w:sz w:val="22"/>
          <w:szCs w:val="22"/>
        </w:rPr>
        <w:t>Lecture; </w:t>
      </w:r>
    </w:p>
    <w:p w:rsidRPr="503DC450" w:rsidP="007D20BC">
      <w:pPr>
        <w:numPr>
          <w:ilvl w:val="0"/>
          <w:numId w:val="19"/>
        </w:numPr>
        <w:ind w:left="720" w:hanging="360"/>
        <w:jc w:val="left"/>
        <w:rPr>
          <w:rFonts w:ascii="Arial" w:hAnsi="Arial" w:cs="Arial"/>
          <w:sz w:val="22"/>
          <w:szCs w:val="22"/>
        </w:rPr>
      </w:pPr>
      <w:r w:rsidRPr="503DC450">
        <w:rPr>
          <w:rFonts w:ascii="Arial" w:hAnsi="Arial" w:cs="Arial"/>
          <w:sz w:val="22"/>
          <w:szCs w:val="22"/>
        </w:rPr>
        <w:t>Seminar; </w:t>
      </w:r>
    </w:p>
    <w:p w:rsidRPr="503DC450" w:rsidP="007D20BC">
      <w:pPr>
        <w:numPr>
          <w:ilvl w:val="0"/>
          <w:numId w:val="19"/>
        </w:numPr>
        <w:ind w:left="720" w:hanging="360"/>
        <w:jc w:val="left"/>
        <w:rPr>
          <w:rFonts w:ascii="Arial" w:hAnsi="Arial" w:cs="Arial"/>
          <w:sz w:val="22"/>
          <w:szCs w:val="22"/>
        </w:rPr>
      </w:pPr>
      <w:r w:rsidRPr="503DC450">
        <w:rPr>
          <w:rFonts w:ascii="Arial" w:hAnsi="Arial" w:cs="Arial"/>
          <w:sz w:val="22"/>
          <w:szCs w:val="22"/>
        </w:rPr>
        <w:t>Workshop and practical demonstration;  </w:t>
      </w:r>
    </w:p>
    <w:p w:rsidRPr="503DC450" w:rsidP="007D20BC">
      <w:pPr>
        <w:numPr>
          <w:ilvl w:val="0"/>
          <w:numId w:val="20"/>
        </w:numPr>
        <w:ind w:left="720" w:hanging="360"/>
        <w:jc w:val="left"/>
        <w:rPr>
          <w:rFonts w:ascii="Arial" w:hAnsi="Arial" w:cs="Arial"/>
          <w:sz w:val="22"/>
          <w:szCs w:val="22"/>
        </w:rPr>
      </w:pPr>
      <w:r w:rsidRPr="503DC450">
        <w:rPr>
          <w:rFonts w:ascii="Arial" w:hAnsi="Arial" w:cs="Arial"/>
          <w:sz w:val="22"/>
          <w:szCs w:val="22"/>
        </w:rPr>
        <w:t>Studio–based work; </w:t>
      </w:r>
    </w:p>
    <w:p w:rsidRPr="503DC450" w:rsidP="007D20BC">
      <w:pPr>
        <w:numPr>
          <w:ilvl w:val="0"/>
          <w:numId w:val="20"/>
        </w:numPr>
        <w:ind w:left="720" w:hanging="360"/>
        <w:jc w:val="left"/>
        <w:rPr>
          <w:rFonts w:ascii="Arial" w:hAnsi="Arial" w:cs="Arial"/>
          <w:sz w:val="22"/>
          <w:szCs w:val="22"/>
        </w:rPr>
      </w:pPr>
      <w:r w:rsidRPr="503DC450">
        <w:rPr>
          <w:rFonts w:ascii="Arial" w:hAnsi="Arial" w:cs="Arial"/>
          <w:sz w:val="22"/>
          <w:szCs w:val="22"/>
        </w:rPr>
        <w:t>Professional recording session; </w:t>
      </w:r>
    </w:p>
    <w:p w:rsidRPr="503DC450" w:rsidP="007D20BC">
      <w:pPr>
        <w:numPr>
          <w:ilvl w:val="0"/>
          <w:numId w:val="20"/>
        </w:numPr>
        <w:ind w:left="720" w:hanging="360"/>
        <w:jc w:val="left"/>
        <w:rPr>
          <w:rFonts w:ascii="Arial" w:hAnsi="Arial" w:cs="Arial"/>
          <w:sz w:val="22"/>
          <w:szCs w:val="22"/>
        </w:rPr>
      </w:pPr>
      <w:r w:rsidRPr="503DC450">
        <w:rPr>
          <w:rFonts w:ascii="Arial" w:hAnsi="Arial" w:cs="Arial"/>
          <w:sz w:val="22"/>
          <w:szCs w:val="22"/>
        </w:rPr>
        <w:t>Individual tutorial.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Keynote lectures will be used to introduce topics and to disseminate key information, both theoretical and practical, and visiting industry professionals will ensure currency on topics such as writing music for film and television dramas and documentaries, advertising, providing library music and copyright. Workshops, practical demonstrations, studio-based work and a professional recording session will be central to the delivery of the MMus Composing for Film and TV where first-hand engagement with the material is critical. Students will be supported in the development of self- and peer-assessment skills through critiquing their own work and that of others. This process has the added benefit of offering continual formative feedback.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Workshops and studio-based work will be central to the delivery of the optional modules focusing on performance, composition, and music technology, where hands-on experience is integral. These will be complemented by seminars and debates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The Major Project enables the student to specialise in a particular genre of composition to moving image and to demonstrate originality. Students are expected to take responsibility for their own learning in terms of background research, practical preparation and analysis, and to work independently and self critically. The Major Project is supported through subject specific seminars and individual tutorials.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In addition to face-to-face contact between students and teaching staff, a virtual learning environment (Canvas) will provide students with access to a range of materials for each module. These materials will typically include the module guide, lecture slides and handouts, audio-visual material and links to useful web-resources. Use of the collaborative tools offered by Canvas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Canvas can be used from any networked personal computer in the University as well as from most personal computers connected to the Internet.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Assessment </w:t>
      </w:r>
    </w:p>
    <w:p w:rsidRPr="503DC450" w:rsidP="007D20BC">
      <w:pPr>
        <w:rPr>
          <w:rFonts w:ascii="Arial" w:hAnsi="Arial" w:cs="Arial"/>
          <w:sz w:val="22"/>
          <w:szCs w:val="22"/>
        </w:rPr>
      </w:pPr>
      <w:r w:rsidRPr="503DC450">
        <w:rPr>
          <w:rFonts w:ascii="Arial" w:hAnsi="Arial" w:cs="Arial"/>
          <w:sz w:val="22"/>
          <w:szCs w:val="22"/>
        </w:rPr>
        <w:t>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 Students will be provided with formative assessment opportunities throughout the course to practise and develop their proficiency in the range of assessment methods utilised.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In summary, the nature of the assessment of the course will utilise a combination of: </w:t>
      </w:r>
    </w:p>
    <w:p w:rsidRPr="503DC450" w:rsidP="007D20BC">
      <w:pPr>
        <w:numPr>
          <w:ilvl w:val="0"/>
          <w:numId w:val="21"/>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Annotated bibliography; </w:t>
      </w:r>
    </w:p>
    <w:p w:rsidRPr="503DC450" w:rsidP="007D20BC">
      <w:pPr>
        <w:numPr>
          <w:ilvl w:val="0"/>
          <w:numId w:val="21"/>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Academic debate  </w:t>
      </w:r>
    </w:p>
    <w:p w:rsidRPr="503DC450" w:rsidP="007D20BC">
      <w:pPr>
        <w:numPr>
          <w:ilvl w:val="0"/>
          <w:numId w:val="21"/>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Critique /Critical review; </w:t>
      </w:r>
    </w:p>
    <w:p w:rsidRPr="503DC450" w:rsidP="007D20BC">
      <w:pPr>
        <w:numPr>
          <w:ilvl w:val="0"/>
          <w:numId w:val="21"/>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Essay; </w:t>
      </w:r>
    </w:p>
    <w:p w:rsidRPr="503DC450" w:rsidP="007D20BC">
      <w:pPr>
        <w:numPr>
          <w:ilvl w:val="0"/>
          <w:numId w:val="21"/>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Performance; </w:t>
      </w:r>
    </w:p>
    <w:p w:rsidRPr="503DC450" w:rsidP="007D20BC">
      <w:pPr>
        <w:numPr>
          <w:ilvl w:val="0"/>
          <w:numId w:val="21"/>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Portfolio of Compositions / Recordings; </w:t>
      </w:r>
    </w:p>
    <w:p w:rsidRPr="503DC450" w:rsidP="007D20BC">
      <w:pPr>
        <w:numPr>
          <w:ilvl w:val="0"/>
          <w:numId w:val="21"/>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Position paper; </w:t>
      </w:r>
    </w:p>
    <w:p w:rsidRPr="503DC450" w:rsidP="007D20BC">
      <w:pPr>
        <w:numPr>
          <w:ilvl w:val="0"/>
          <w:numId w:val="21"/>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Practical project: planning, implementation and evaluation; </w:t>
      </w:r>
    </w:p>
    <w:p w:rsidRPr="503DC450" w:rsidP="007D20BC">
      <w:pPr>
        <w:numPr>
          <w:ilvl w:val="0"/>
          <w:numId w:val="21"/>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Live and pre-recorded Presentations; </w:t>
      </w:r>
    </w:p>
    <w:p w:rsidRPr="503DC450" w:rsidP="007D20BC">
      <w:pPr>
        <w:numPr>
          <w:ilvl w:val="0"/>
          <w:numId w:val="21"/>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Recording Project (proposal, documentation and recordings); </w:t>
      </w:r>
    </w:p>
    <w:p w:rsidRPr="503DC450" w:rsidP="007D20BC">
      <w:pPr>
        <w:numPr>
          <w:ilvl w:val="0"/>
          <w:numId w:val="21"/>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Research paper.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Creative outcomes are assessed by a portfolio of compositions (with accompanying recording score and evaluation), recordings, or sound to picture music files. Students are required to develop a distinctive voice and to demonstrate a range of techniques, compose imaginatively, competence in the use of instruments, produce a genre dependent score and critically appraise their own work.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 MMus in Composing for Film and TV programme culminates in the Major Project. This enables the student to undertake an original piece of creative work on a topic of their own choice in the form of a folio of compositions to moving image with supporting recording, DVD and critical commentary.  </w:t>
      </w:r>
    </w:p>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will be introduced to the nature of teaching and learning as part of the induction process and are supported by: </w:t>
      </w:r>
    </w:p>
    <w:p w:rsidRPr="503DC450" w:rsidP="00B40E99">
      <w:pPr>
        <w:rPr>
          <w:rFonts w:ascii="Arial" w:hAnsi="Arial" w:cs="Arial"/>
          <w:sz w:val="22"/>
          <w:szCs w:val="22"/>
        </w:rPr>
      </w:pPr>
      <w:r w:rsidRPr="503DC450">
        <w:rPr>
          <w:rFonts w:ascii="Arial" w:hAnsi="Arial" w:cs="Arial"/>
          <w:sz w:val="22"/>
          <w:szCs w:val="22"/>
        </w:rPr>
        <w:t> </w:t>
      </w:r>
    </w:p>
    <w:p w:rsidRPr="503DC450" w:rsidP="00B40E99">
      <w:pPr>
        <w:numPr>
          <w:ilvl w:val="0"/>
          <w:numId w:val="22"/>
        </w:numPr>
        <w:ind w:left="720" w:hanging="360"/>
        <w:jc w:val="left"/>
        <w:rPr>
          <w:rFonts w:ascii="Arial" w:hAnsi="Arial" w:cs="Arial"/>
          <w:sz w:val="22"/>
          <w:szCs w:val="22"/>
        </w:rPr>
      </w:pPr>
      <w:r w:rsidRPr="503DC450">
        <w:rPr>
          <w:rFonts w:ascii="Arial" w:hAnsi="Arial" w:cs="Arial"/>
          <w:sz w:val="22"/>
          <w:szCs w:val="22"/>
        </w:rPr>
        <w:t>A Module Leader for each module </w:t>
      </w:r>
    </w:p>
    <w:p w:rsidRPr="503DC450" w:rsidP="00B40E99">
      <w:pPr>
        <w:numPr>
          <w:ilvl w:val="0"/>
          <w:numId w:val="23"/>
        </w:numPr>
        <w:ind w:left="720" w:hanging="360"/>
        <w:jc w:val="left"/>
        <w:rPr>
          <w:rFonts w:ascii="Arial" w:hAnsi="Arial" w:cs="Arial"/>
          <w:sz w:val="22"/>
          <w:szCs w:val="22"/>
        </w:rPr>
      </w:pPr>
      <w:r w:rsidRPr="503DC450">
        <w:rPr>
          <w:rFonts w:ascii="Arial" w:hAnsi="Arial" w:cs="Arial"/>
          <w:sz w:val="22"/>
          <w:szCs w:val="22"/>
        </w:rPr>
        <w:t>A Course Leader to help students understand the programme structure </w:t>
      </w:r>
    </w:p>
    <w:p w:rsidRPr="503DC450" w:rsidP="00B40E99">
      <w:pPr>
        <w:numPr>
          <w:ilvl w:val="0"/>
          <w:numId w:val="23"/>
        </w:numPr>
        <w:ind w:left="720" w:hanging="360"/>
        <w:jc w:val="left"/>
        <w:rPr>
          <w:rFonts w:ascii="Arial" w:hAnsi="Arial" w:cs="Arial"/>
          <w:sz w:val="22"/>
          <w:szCs w:val="22"/>
        </w:rPr>
      </w:pPr>
      <w:r w:rsidRPr="503DC450">
        <w:rPr>
          <w:rFonts w:ascii="Arial" w:hAnsi="Arial" w:cs="Arial"/>
          <w:sz w:val="22"/>
          <w:szCs w:val="22"/>
        </w:rPr>
        <w:t>Personal Tutors to provide academic and personal support </w:t>
      </w:r>
    </w:p>
    <w:p w:rsidRPr="503DC450" w:rsidP="00B40E99">
      <w:pPr>
        <w:numPr>
          <w:ilvl w:val="0"/>
          <w:numId w:val="23"/>
        </w:numPr>
        <w:ind w:left="720" w:hanging="360"/>
        <w:jc w:val="left"/>
        <w:rPr>
          <w:rFonts w:ascii="Arial" w:hAnsi="Arial" w:cs="Arial"/>
          <w:sz w:val="22"/>
          <w:szCs w:val="22"/>
        </w:rPr>
      </w:pPr>
      <w:r w:rsidRPr="503DC450">
        <w:rPr>
          <w:rFonts w:ascii="Arial" w:hAnsi="Arial" w:cs="Arial"/>
          <w:sz w:val="22"/>
          <w:szCs w:val="22"/>
        </w:rPr>
        <w:t>Pre-sessional and year-long English language development programme </w:t>
      </w:r>
    </w:p>
    <w:p w:rsidRPr="503DC450" w:rsidP="00B40E99">
      <w:pPr>
        <w:numPr>
          <w:ilvl w:val="0"/>
          <w:numId w:val="23"/>
        </w:numPr>
        <w:ind w:left="720" w:hanging="360"/>
        <w:jc w:val="left"/>
        <w:rPr>
          <w:rFonts w:ascii="Arial" w:hAnsi="Arial" w:cs="Arial"/>
          <w:sz w:val="22"/>
          <w:szCs w:val="22"/>
        </w:rPr>
      </w:pPr>
      <w:r w:rsidRPr="503DC450">
        <w:rPr>
          <w:rFonts w:ascii="Arial" w:hAnsi="Arial" w:cs="Arial"/>
          <w:sz w:val="22"/>
          <w:szCs w:val="22"/>
        </w:rPr>
        <w:t>Bespoke language and academic writing support for core music research and music education modules  </w:t>
      </w:r>
    </w:p>
    <w:p w:rsidRPr="503DC450" w:rsidP="00B40E99">
      <w:pPr>
        <w:numPr>
          <w:ilvl w:val="0"/>
          <w:numId w:val="23"/>
        </w:numPr>
        <w:ind w:left="720" w:hanging="360"/>
        <w:jc w:val="left"/>
        <w:rPr>
          <w:rFonts w:ascii="Arial" w:hAnsi="Arial" w:cs="Arial"/>
          <w:sz w:val="22"/>
          <w:szCs w:val="22"/>
        </w:rPr>
      </w:pPr>
      <w:r w:rsidRPr="503DC450">
        <w:rPr>
          <w:rFonts w:ascii="Arial" w:hAnsi="Arial" w:cs="Arial"/>
          <w:sz w:val="22"/>
          <w:szCs w:val="22"/>
        </w:rPr>
        <w:t>One-to-one writing support   </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A placement tutor to give general advice on placements </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Technical support to advise students on IT and the technical operation of the studios and to advise and support them in the creation of curricular and extra-curricular studio projects  </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A designated Course Administrator </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An induction week at the beginning of each new academic session </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Staff Student Consultative Committee </w:t>
      </w:r>
    </w:p>
    <w:p w:rsidRPr="503DC450" w:rsidP="00B40E99">
      <w:pPr>
        <w:numPr>
          <w:ilvl w:val="0"/>
          <w:numId w:val="25"/>
        </w:numPr>
        <w:ind w:left="720" w:hanging="360"/>
        <w:jc w:val="left"/>
        <w:rPr>
          <w:rFonts w:ascii="Arial" w:hAnsi="Arial" w:cs="Arial"/>
          <w:sz w:val="22"/>
          <w:szCs w:val="22"/>
        </w:rPr>
      </w:pPr>
      <w:r w:rsidRPr="503DC450">
        <w:rPr>
          <w:rFonts w:ascii="Arial" w:hAnsi="Arial" w:cs="Arial"/>
          <w:sz w:val="22"/>
          <w:szCs w:val="22"/>
        </w:rPr>
        <w:t>Canvas – a versatile online interactive intranet and learning environment accessible both on and off-site </w:t>
      </w:r>
    </w:p>
    <w:p w:rsidRPr="503DC450" w:rsidP="00B40E99">
      <w:pPr>
        <w:numPr>
          <w:ilvl w:val="0"/>
          <w:numId w:val="25"/>
        </w:numPr>
        <w:ind w:left="720" w:hanging="360"/>
        <w:jc w:val="left"/>
        <w:rPr>
          <w:rFonts w:ascii="Arial" w:hAnsi="Arial" w:cs="Arial"/>
          <w:sz w:val="22"/>
          <w:szCs w:val="22"/>
        </w:rPr>
      </w:pPr>
      <w:r w:rsidRPr="503DC450">
        <w:rPr>
          <w:rFonts w:ascii="Arial" w:hAnsi="Arial" w:cs="Arial"/>
          <w:sz w:val="22"/>
          <w:szCs w:val="22"/>
        </w:rPr>
        <w:t>LinkedIn Learning and Skills For Study – online platforms offering self-paced software tutorials  </w:t>
      </w:r>
    </w:p>
    <w:p w:rsidRPr="503DC450" w:rsidP="00B40E99">
      <w:pPr>
        <w:numPr>
          <w:ilvl w:val="0"/>
          <w:numId w:val="25"/>
        </w:numPr>
        <w:ind w:left="720" w:hanging="360"/>
        <w:jc w:val="left"/>
        <w:rPr>
          <w:rFonts w:ascii="Arial" w:hAnsi="Arial" w:cs="Arial"/>
          <w:sz w:val="22"/>
          <w:szCs w:val="22"/>
        </w:rPr>
      </w:pPr>
      <w:r w:rsidRPr="503DC450">
        <w:rPr>
          <w:rFonts w:ascii="Arial" w:hAnsi="Arial" w:cs="Arial"/>
          <w:sz w:val="22"/>
          <w:szCs w:val="22"/>
        </w:rPr>
        <w:t>A substantial Academic Success Centre that provides academic skills support for both UG and PG students  </w:t>
      </w:r>
    </w:p>
    <w:p w:rsidRPr="503DC450" w:rsidP="00B40E99">
      <w:pPr>
        <w:numPr>
          <w:ilvl w:val="0"/>
          <w:numId w:val="25"/>
        </w:numPr>
        <w:ind w:left="720" w:hanging="360"/>
        <w:jc w:val="left"/>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 </w:t>
      </w:r>
    </w:p>
    <w:p w:rsidRPr="503DC450" w:rsidP="00B40E99">
      <w:pPr>
        <w:numPr>
          <w:ilvl w:val="0"/>
          <w:numId w:val="25"/>
        </w:numPr>
        <w:ind w:left="720" w:hanging="360"/>
        <w:jc w:val="left"/>
        <w:rPr>
          <w:rFonts w:ascii="Arial" w:hAnsi="Arial" w:cs="Arial"/>
          <w:sz w:val="22"/>
          <w:szCs w:val="22"/>
        </w:rPr>
      </w:pPr>
      <w:r w:rsidRPr="503DC450">
        <w:rPr>
          <w:rFonts w:ascii="Arial" w:hAnsi="Arial" w:cs="Arial"/>
          <w:sz w:val="22"/>
          <w:szCs w:val="22"/>
        </w:rPr>
        <w:t>A Student Achievement Officer who provides pastoral support </w:t>
      </w:r>
    </w:p>
    <w:p w:rsidRPr="503DC450" w:rsidP="00B40E99">
      <w:pPr>
        <w:numPr>
          <w:ilvl w:val="0"/>
          <w:numId w:val="26"/>
        </w:numPr>
        <w:ind w:left="720" w:hanging="360"/>
        <w:jc w:val="left"/>
        <w:rPr>
          <w:rFonts w:ascii="Arial" w:hAnsi="Arial" w:cs="Arial"/>
          <w:sz w:val="22"/>
          <w:szCs w:val="22"/>
        </w:rPr>
      </w:pPr>
      <w:r w:rsidRPr="503DC450">
        <w:rPr>
          <w:rFonts w:ascii="Arial" w:hAnsi="Arial" w:cs="Arial"/>
          <w:sz w:val="22"/>
          <w:szCs w:val="22"/>
        </w:rPr>
        <w:t>Disability and Mental Health support  </w:t>
      </w:r>
    </w:p>
    <w:p w:rsidRPr="503DC450" w:rsidP="00B40E99">
      <w:pPr>
        <w:numPr>
          <w:ilvl w:val="0"/>
          <w:numId w:val="26"/>
        </w:numPr>
        <w:ind w:left="720" w:hanging="360"/>
        <w:jc w:val="left"/>
        <w:rPr>
          <w:rFonts w:ascii="Arial" w:hAnsi="Arial" w:cs="Arial"/>
          <w:sz w:val="22"/>
          <w:szCs w:val="22"/>
        </w:rPr>
      </w:pPr>
      <w:r w:rsidRPr="503DC450">
        <w:rPr>
          <w:rFonts w:ascii="Arial" w:hAnsi="Arial" w:cs="Arial"/>
          <w:sz w:val="22"/>
          <w:szCs w:val="22"/>
        </w:rPr>
        <w:t>The Union of Kingston Students </w:t>
      </w:r>
    </w:p>
    <w:p w:rsidRPr="503DC450" w:rsidP="00B40E99">
      <w:pPr>
        <w:numPr>
          <w:ilvl w:val="0"/>
          <w:numId w:val="26"/>
        </w:numPr>
        <w:ind w:left="720" w:hanging="360"/>
        <w:jc w:val="left"/>
        <w:rPr>
          <w:rFonts w:ascii="Arial" w:hAnsi="Arial" w:cs="Arial"/>
          <w:sz w:val="22"/>
          <w:szCs w:val="22"/>
        </w:rPr>
      </w:pPr>
      <w:r w:rsidRPr="503DC450">
        <w:rPr>
          <w:rFonts w:ascii="Arial" w:hAnsi="Arial" w:cs="Arial"/>
          <w:sz w:val="22"/>
          <w:szCs w:val="22"/>
        </w:rPr>
        <w:t>Careers and Employability Services Team </w:t>
      </w:r>
    </w:p>
    <w:p w:rsidRPr="503DC450" w:rsidP="00B40E99">
      <w:pPr>
        <w:numPr>
          <w:ilvl w:val="0"/>
          <w:numId w:val="26"/>
        </w:numPr>
        <w:ind w:left="720" w:hanging="360"/>
        <w:jc w:val="left"/>
        <w:rPr>
          <w:rFonts w:ascii="Arial" w:hAnsi="Arial" w:cs="Arial"/>
          <w:sz w:val="22"/>
          <w:szCs w:val="22"/>
        </w:rPr>
      </w:pPr>
      <w:r w:rsidRPr="503DC450">
        <w:rPr>
          <w:rFonts w:ascii="Arial" w:hAnsi="Arial" w:cs="Arial"/>
          <w:sz w:val="22"/>
          <w:szCs w:val="22"/>
        </w:rPr>
        <w:t>Faculty-aligned Careers Advisers who run workshops, weekly drop-ins and 1:1 appointments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  </w:t>
      </w:r>
    </w:p>
    <w:p w:rsidRPr="503DC450" w:rsidP="00A92C9B">
      <w:pPr>
        <w:numPr>
          <w:ilvl w:val="0"/>
          <w:numId w:val="27"/>
        </w:numPr>
        <w:ind w:left="720" w:hanging="360"/>
        <w:jc w:val="left"/>
        <w:rPr>
          <w:rFonts w:ascii="Arial" w:hAnsi="Arial" w:cs="Arial"/>
          <w:sz w:val="22"/>
          <w:szCs w:val="22"/>
        </w:rPr>
      </w:pPr>
      <w:r w:rsidRPr="503DC450">
        <w:rPr>
          <w:rFonts w:ascii="Arial" w:hAnsi="Arial" w:cs="Arial"/>
          <w:sz w:val="22"/>
          <w:szCs w:val="22"/>
        </w:rPr>
        <w:t>External Examiners </w:t>
      </w:r>
    </w:p>
    <w:p w:rsidRPr="503DC450" w:rsidP="00A92C9B">
      <w:pPr>
        <w:numPr>
          <w:ilvl w:val="0"/>
          <w:numId w:val="27"/>
        </w:numPr>
        <w:ind w:left="720" w:hanging="360"/>
        <w:jc w:val="left"/>
        <w:rPr>
          <w:rFonts w:ascii="Arial" w:hAnsi="Arial" w:cs="Arial"/>
          <w:sz w:val="22"/>
          <w:szCs w:val="22"/>
        </w:rPr>
      </w:pPr>
      <w:r w:rsidRPr="503DC450">
        <w:rPr>
          <w:rFonts w:ascii="Arial" w:hAnsi="Arial" w:cs="Arial"/>
          <w:sz w:val="22"/>
          <w:szCs w:val="22"/>
        </w:rPr>
        <w:t>Student Voice Committee </w:t>
      </w:r>
    </w:p>
    <w:p w:rsidRPr="503DC450" w:rsidP="00A92C9B">
      <w:pPr>
        <w:numPr>
          <w:ilvl w:val="0"/>
          <w:numId w:val="27"/>
        </w:numPr>
        <w:ind w:left="720" w:hanging="360"/>
        <w:jc w:val="left"/>
        <w:rPr>
          <w:rFonts w:ascii="Arial" w:hAnsi="Arial" w:cs="Arial"/>
          <w:sz w:val="22"/>
          <w:szCs w:val="22"/>
        </w:rPr>
      </w:pPr>
      <w:r w:rsidRPr="503DC450">
        <w:rPr>
          <w:rFonts w:ascii="Arial" w:hAnsi="Arial" w:cs="Arial"/>
          <w:sz w:val="22"/>
          <w:szCs w:val="22"/>
        </w:rPr>
        <w:t>Student representation at the Course, School and Faculty levels </w:t>
      </w:r>
    </w:p>
    <w:p w:rsidRPr="503DC450" w:rsidP="00A92C9B">
      <w:pPr>
        <w:numPr>
          <w:ilvl w:val="0"/>
          <w:numId w:val="28"/>
        </w:numPr>
        <w:ind w:left="720" w:hanging="360"/>
        <w:jc w:val="left"/>
        <w:rPr>
          <w:rFonts w:ascii="Arial" w:hAnsi="Arial" w:cs="Arial"/>
          <w:sz w:val="22"/>
          <w:szCs w:val="22"/>
        </w:rPr>
      </w:pPr>
      <w:r w:rsidRPr="503DC450">
        <w:rPr>
          <w:rFonts w:ascii="Arial" w:hAnsi="Arial" w:cs="Arial"/>
          <w:sz w:val="22"/>
          <w:szCs w:val="22"/>
        </w:rPr>
        <w:t>Student Voice Committee with student representation </w:t>
      </w:r>
    </w:p>
    <w:p w:rsidRPr="503DC450" w:rsidP="00A92C9B">
      <w:pPr>
        <w:numPr>
          <w:ilvl w:val="0"/>
          <w:numId w:val="28"/>
        </w:numPr>
        <w:ind w:left="720" w:hanging="360"/>
        <w:jc w:val="left"/>
        <w:rPr>
          <w:rFonts w:ascii="Arial" w:hAnsi="Arial" w:cs="Arial"/>
          <w:sz w:val="22"/>
          <w:szCs w:val="22"/>
        </w:rPr>
      </w:pPr>
      <w:r w:rsidRPr="503DC450">
        <w:rPr>
          <w:rFonts w:ascii="Arial" w:hAnsi="Arial" w:cs="Arial"/>
          <w:sz w:val="22"/>
          <w:szCs w:val="22"/>
        </w:rPr>
        <w:t>Annual Monitoring and Enhancement </w:t>
      </w:r>
    </w:p>
    <w:p w:rsidRPr="503DC450" w:rsidP="00A92C9B">
      <w:pPr>
        <w:numPr>
          <w:ilvl w:val="0"/>
          <w:numId w:val="28"/>
        </w:numPr>
        <w:ind w:left="720" w:hanging="360"/>
        <w:jc w:val="left"/>
        <w:rPr>
          <w:rFonts w:ascii="Arial" w:hAnsi="Arial" w:cs="Arial"/>
          <w:sz w:val="22"/>
          <w:szCs w:val="22"/>
        </w:rPr>
      </w:pPr>
      <w:r w:rsidRPr="503DC450">
        <w:rPr>
          <w:rFonts w:ascii="Arial" w:hAnsi="Arial" w:cs="Arial"/>
          <w:sz w:val="22"/>
          <w:szCs w:val="22"/>
        </w:rPr>
        <w:t>Student evaluation including Early Module Reviews and MEQs (Module Evaluation Questionnaires) for each module and a PTES (Postgraduate Taught Experience Survey) </w:t>
      </w:r>
    </w:p>
    <w:p w:rsidRPr="503DC450" w:rsidP="00A92C9B">
      <w:pPr>
        <w:numPr>
          <w:ilvl w:val="0"/>
          <w:numId w:val="28"/>
        </w:numPr>
        <w:ind w:left="720" w:hanging="360"/>
        <w:jc w:val="left"/>
        <w:rPr>
          <w:rFonts w:ascii="Arial" w:hAnsi="Arial" w:cs="Arial"/>
          <w:sz w:val="22"/>
          <w:szCs w:val="22"/>
        </w:rPr>
      </w:pPr>
      <w:r w:rsidRPr="503DC450">
        <w:rPr>
          <w:rFonts w:ascii="Arial" w:hAnsi="Arial" w:cs="Arial"/>
          <w:sz w:val="22"/>
          <w:szCs w:val="22"/>
        </w:rPr>
        <w:t>Moderation policies </w:t>
      </w:r>
    </w:p>
    <w:p w:rsidRPr="503DC450" w:rsidP="00A92C9B">
      <w:pPr>
        <w:numPr>
          <w:ilvl w:val="0"/>
          <w:numId w:val="29"/>
        </w:numPr>
        <w:ind w:left="720" w:hanging="360"/>
        <w:jc w:val="left"/>
        <w:rPr>
          <w:rFonts w:ascii="Arial" w:hAnsi="Arial" w:cs="Arial"/>
          <w:sz w:val="22"/>
          <w:szCs w:val="22"/>
        </w:rPr>
      </w:pPr>
      <w:r w:rsidRPr="503DC450">
        <w:rPr>
          <w:rFonts w:ascii="Arial" w:hAnsi="Arial" w:cs="Arial"/>
          <w:sz w:val="22"/>
          <w:szCs w:val="22"/>
        </w:rPr>
        <w:t>Feedback from employers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A high proportion of MMus Composing for Film and TV students obtain employment on graduation in the music industry, subjects allied to music or enrol for a MPhil/PhD either at home, or abroad. For those students who are already in employment and are undertaking the MMus in a part-time mode, the award may accelerate promotion and open up new opportunities. </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The particular nature of Postgraduate study in Music at Kingston, combining theoretical knowledge and practical skills, offers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rsidRPr="503DC450" w:rsidP="001A372B">
      <w:pPr>
        <w:rPr>
          <w:rFonts w:ascii="Arial" w:hAnsi="Arial" w:cs="Arial"/>
          <w:sz w:val="22"/>
          <w:szCs w:val="22"/>
        </w:rPr>
      </w:pPr>
      <w:r w:rsidRPr="503DC450">
        <w:rPr>
          <w:rFonts w:ascii="Arial" w:hAnsi="Arial" w:cs="Arial"/>
          <w:sz w:val="22"/>
          <w:szCs w:val="22"/>
        </w:rPr>
        <w:t>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b/>
          <w:bCs/>
          <w:sz w:val="22"/>
          <w:szCs w:val="22"/>
        </w:rPr>
        <w:t>Course page on the KU website:</w:t>
      </w:r>
    </w:p>
    <w:p w:rsidRPr="503DC450" w:rsidP="00A92C9B">
      <w:pPr>
        <w:pStyle w:val="p"/>
        <w:spacing w:before="0" w:after="0"/>
        <w:ind w:left="0" w:right="0"/>
        <w:rPr>
          <w:rFonts w:ascii="Times New Roman" w:eastAsia="Times New Roman" w:hAnsi="Times New Roman" w:cs="Times New Roman"/>
          <w:sz w:val="22"/>
          <w:szCs w:val="22"/>
        </w:rPr>
      </w:pPr>
      <w:hyperlink r:id="rId11" w:history="1">
        <w:r w:rsidRPr="503DC450">
          <w:rPr>
            <w:rFonts w:ascii="Arial" w:eastAsia="Arial" w:hAnsi="Arial" w:cs="Arial"/>
            <w:color w:val="0000FF"/>
            <w:sz w:val="22"/>
            <w:szCs w:val="22"/>
            <w:u w:val="single" w:color="0000FF"/>
          </w:rPr>
          <w:t>https://www.kingston.ac.uk/postgraduate-course/composing-film-television-mmus/</w:t>
        </w:r>
      </w:hyperlink>
      <w:r w:rsidRPr="503DC450">
        <w:rPr>
          <w:rFonts w:ascii="Arial" w:eastAsia="Arial" w:hAnsi="Arial" w:cs="Arial"/>
          <w:sz w:val="22"/>
          <w:szCs w:val="22"/>
        </w:rPr>
        <w:t xml:space="preserve"> </w:t>
      </w:r>
      <w:r w:rsidRPr="503DC450">
        <w:rPr>
          <w:rFonts w:ascii="Times New Roman" w:eastAsia="Times New Roman" w:hAnsi="Times New Roman" w:cs="Times New Roman"/>
          <w:sz w:val="22"/>
          <w:szCs w:val="22"/>
        </w:rPr>
        <w:tab/>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8"/>
        <w:gridCol w:w="316"/>
        <w:gridCol w:w="817"/>
        <w:gridCol w:w="817"/>
        <w:gridCol w:w="817"/>
        <w:gridCol w:w="81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MU7012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olorfulList-Accent11">
    <w:name w:val="ColorfulList-Accent1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postgraduate-course/composing-film-television-mmu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AE29916-3F00-476F-9A75-E74ADF807DB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