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Music</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31/07/2014</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15/01/2024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4</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Arts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Performing Arts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Music</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Postgraduate Diploma in Music</w:t>
            </w:r>
            <w:r>
              <w:br/>
            </w:r>
            <w:r w:rsidRPr="01DA1EA0" w:rsidR="12C816DE">
              <w:rPr>
                <w:rFonts w:ascii="Arial" w:hAnsi="Arial" w:cs="Arial"/>
                <w:sz w:val="22"/>
                <w:szCs w:val="22"/>
              </w:rPr>
              <w:t>Postgraduate Certificate in Music</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PPMUS1MUS01</w:t>
            </w:r>
          </w:p>
          <w:p w:rsidR="72431AC7" w:rsidP="01DA1EA0" w14:paraId="6CCD9CAD" w14:textId="7FB53094">
            <w:r w:rsidRPr="01DA1EA0">
              <w:rPr>
                <w:rFonts w:ascii="Arial" w:hAnsi="Arial" w:cs="Arial"/>
                <w:sz w:val="22"/>
                <w:szCs w:val="22"/>
              </w:rPr>
              <w:t>PFMUS1MUS01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Hill</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The minimum entry qualifications for the programme are: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A good honours degree in music or another relevant subject.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A minimum IELTS score of 6.5, TOEFL 88 (iBT) or equivalent is required for those for whom English is not their first language.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It may be necessary to get a DBS (Disclosure and Barring Service) clearance if the student chooses one of the music education modules.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Music</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ind w:left="36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None</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See entry criteria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 coherent but flexible two-year part-time or one-year full-time Master’s programme for performers which will develop their musical and critical skills and knowledge to a level beyond that of first degree study.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lang w:val="en-US" w:eastAsia="en-US"/>
        </w:rPr>
      </w:pPr>
      <w:r w:rsidRPr="007C4290">
        <w:rPr>
          <w:rStyle w:val="normaltextrun"/>
          <w:rFonts w:ascii="Arial" w:hAnsi="Arial" w:cs="Arial"/>
          <w:color w:val="000000" w:themeColor="text1"/>
          <w:shd w:val="clear" w:color="auto" w:fill="FFFFFF"/>
          <w:lang w:val="en-US" w:eastAsia="en-US"/>
        </w:rPr>
        <w:t>To stimulate an inquiring mind and encourage initiative, critical evaluation and independence of thought which will allow continued autonomous development of music expertise and knowledge beyond graduate studies.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lang w:val="en-US" w:eastAsia="en-US"/>
        </w:rPr>
      </w:pPr>
      <w:r w:rsidRPr="007C4290">
        <w:rPr>
          <w:rStyle w:val="normaltextrun"/>
          <w:rFonts w:ascii="Arial" w:hAnsi="Arial" w:cs="Arial"/>
          <w:color w:val="000000" w:themeColor="text1"/>
          <w:shd w:val="clear" w:color="auto" w:fill="FFFFFF"/>
          <w:lang w:val="en-US" w:eastAsia="en-US"/>
        </w:rPr>
        <w:t>To develop a systematic understanding of relevant musical knowledge, and a critical awareness of contemporary issues which is at, or informed by, the forefront of the discipline of music scholarship and performance.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knowledge of research practices in music and to enable students to undertake a substantial individual research project culminating in a musical composition or a written dissertation. </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 postgraduate programme which can be taken by students from a wide range of musical backgrounds, and to enable students both to deepen and to broaden their understanding of musical styles and contexts.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The programme outcomes are referenced to the QAA subject benchmarks for Music (UG), the Master’s Degree Characteristics (2020), the Frameworks for Higher Education Qualifications of UK Degree-Awarding Bodies (2014). The programme learning outcomes will have been achieved by all students receiving this award. They must align to the levels set out in </w:t>
      </w:r>
      <w:hyperlink r:id="rId9" w:tgtFrame="_blank" w:history="1">
        <w:r w:rsidRPr="007C4290">
          <w:rPr>
            <w:rStyle w:val="normaltextrun"/>
            <w:rFonts w:ascii="Arial" w:hAnsi="Arial" w:cs="Arial"/>
            <w:color w:val="000000" w:themeColor="text1"/>
            <w:sz w:val="22"/>
            <w:szCs w:val="22"/>
            <w:shd w:val="clear" w:color="auto" w:fill="FFFFFF"/>
          </w:rPr>
          <w:t>‘Sector Recognised Standards in England’</w:t>
        </w:r>
      </w:hyperlink>
      <w:r w:rsidRPr="007C4290">
        <w:rPr>
          <w:rStyle w:val="normaltextrun"/>
          <w:rFonts w:ascii="Arial" w:hAnsi="Arial" w:cs="Arial"/>
          <w:color w:val="000000" w:themeColor="text1"/>
          <w:sz w:val="22"/>
          <w:szCs w:val="22"/>
          <w:shd w:val="clear" w:color="auto" w:fill="FFFFFF"/>
        </w:rPr>
        <w:t xml:space="preserve"> (OFS 2022). </w:t>
      </w:r>
    </w:p>
    <w:p w:rsidRPr="007C4290" w:rsidP="00917A90">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 </w:t>
      </w:r>
    </w:p>
    <w:p w:rsidRPr="007C4290" w:rsidP="00917A90">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In addition to the programme learning outcomes, the programme of study will allow students to develop the following range of Graduate Attributes: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Creative Problem Solving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Digital Competency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Enterprise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Questioning Mindset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Adaptability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Empathy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Collaboration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Resilience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Self-Awareness  </w:t>
      </w:r>
    </w:p>
    <w:p w:rsidRPr="007C4290" w:rsidP="00917A90">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 </w:t>
      </w:r>
    </w:p>
    <w:p w:rsidRPr="007C4290" w:rsidP="00917A90">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The programme provides opportunities for students to develop and demonstrate skills, knowledge and understanding, as well as other attributes, in the following areas.   </w:t>
      </w:r>
    </w:p>
    <w:p w:rsidRPr="007C4290" w:rsidP="00917A90">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knowledge and understanding of a broad range of issues which underpin current research in music</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handle complex issues both systematically and creatively, and communicate their findings clearly and succinctly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professional skills (including self-presentation, communication, interpersonal/teamwork, research and information literacy, numeracy, time-management and project-planning, management and leadership skills, and ethical practice).</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thorough understanding of research methods, in particular those applicable to the area of research chosen for the major project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a high degree of critical awareness in relation to their own work and that of others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high level practical and technical skills relevant to their chosen areas of study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in-depth knowledge and understanding in relation to the subject area of the major project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self-direction and originality in tackling and solving problems, and act autonomously in planning and implementing activities at a professional or equivalent level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a high level of presentational competence in their work</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link theory to practice and apply insights from one area of music study to another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 in full-time and part-time modes and leads to the award of MA in Music.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E1. Professional and Statutory Regulatory Bodies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None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E2. Outline Programme Structure </w:t>
      </w:r>
    </w:p>
    <w:p w:rsidRPr="66934EB1" w:rsidP="66934EB1">
      <w:pPr>
        <w:rPr>
          <w:rFonts w:ascii="Arial" w:eastAsia="Arial" w:hAnsi="Arial" w:cs="Arial"/>
          <w:color w:val="000000" w:themeColor="text1"/>
          <w:sz w:val="22"/>
          <w:szCs w:val="22"/>
          <w:lang w:val="en-US" w:eastAsia="en-US"/>
        </w:rPr>
      </w:pPr>
      <w:r w:rsidRPr="66934EB1">
        <w:rPr>
          <w:rFonts w:ascii="Arial" w:eastAsia="Arial" w:hAnsi="Arial" w:cs="Arial"/>
          <w:color w:val="000000" w:themeColor="text1"/>
          <w:sz w:val="22"/>
          <w:szCs w:val="22"/>
          <w:lang w:val="en-US" w:eastAsia="en-US"/>
        </w:rPr>
        <w:t>The programme is made up of four modules each worth 30 credit points and the Major Project which is 60 credits.  Part time students take 3x30 credit modules in Year 1 and 1x30 credit module and the Major Project (60 credits) in their second year.    All students will be provided with the University regulations. Full details of each module will be provided in module descriptors and student module guides.  </w:t>
      </w:r>
    </w:p>
    <w:p w:rsidRPr="66934EB1" w:rsidP="66934EB1">
      <w:pPr>
        <w:rPr>
          <w:rFonts w:ascii="Arial" w:eastAsia="Arial" w:hAnsi="Arial" w:cs="Arial"/>
          <w:color w:val="000000" w:themeColor="text1"/>
          <w:sz w:val="22"/>
          <w:szCs w:val="22"/>
          <w:lang w:val="en-US" w:eastAsia="en-US"/>
        </w:rPr>
      </w:pPr>
      <w:r w:rsidRPr="66934EB1">
        <w:rPr>
          <w:rFonts w:ascii="Arial" w:eastAsia="Arial" w:hAnsi="Arial" w:cs="Arial"/>
          <w:color w:val="000000" w:themeColor="text1"/>
          <w:sz w:val="22"/>
          <w:szCs w:val="22"/>
          <w:lang w:val="en-US" w:eastAsia="en-US"/>
        </w:rPr>
        <w:t> </w:t>
      </w:r>
    </w:p>
    <w:p w:rsidRPr="66934EB1" w:rsidP="66934EB1">
      <w:pPr>
        <w:rPr>
          <w:rFonts w:ascii="Arial" w:eastAsia="Arial" w:hAnsi="Arial" w:cs="Arial"/>
          <w:color w:val="000000" w:themeColor="text1"/>
          <w:sz w:val="22"/>
          <w:szCs w:val="22"/>
          <w:lang w:val="en-US" w:eastAsia="en-US"/>
        </w:rPr>
      </w:pPr>
      <w:r w:rsidRPr="66934EB1">
        <w:rPr>
          <w:rFonts w:ascii="Arial" w:eastAsia="Arial" w:hAnsi="Arial" w:cs="Arial"/>
          <w:color w:val="000000" w:themeColor="text1"/>
          <w:sz w:val="22"/>
          <w:szCs w:val="22"/>
          <w:lang w:val="en-US" w:eastAsia="en-US"/>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 </w:t>
      </w:r>
    </w:p>
    <w:p w:rsidRPr="66934EB1" w:rsidP="66934EB1">
      <w:pPr>
        <w:rPr>
          <w:rFonts w:ascii="Arial" w:eastAsia="Arial" w:hAnsi="Arial" w:cs="Arial"/>
          <w:color w:val="000000" w:themeColor="text1"/>
          <w:sz w:val="22"/>
          <w:szCs w:val="22"/>
          <w:lang w:val="en-US" w:eastAsia="en-US"/>
        </w:rPr>
      </w:pPr>
      <w:r w:rsidRPr="66934EB1">
        <w:rPr>
          <w:rFonts w:ascii="Arial" w:eastAsia="Arial" w:hAnsi="Arial" w:cs="Arial"/>
          <w:color w:val="000000" w:themeColor="text1"/>
          <w:sz w:val="22"/>
          <w:szCs w:val="22"/>
          <w:lang w:val="en-US" w:eastAsia="en-US"/>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Music</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Music</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Major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MU7012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Researching Music</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MU7001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 xml:space="preserve"> Advanced Production of Popular Music</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MU7006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Composing and Marketing Popular Music</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Constructing Music Education in the UK</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1</w:t>
            </w:r>
          </w:p>
        </w:tc>
      </w:tr>
      <w:tr w14:paraId="21361EA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Critical Aspects of Performance Presentation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MU7016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International Music Education Psychology, Culture and Philosophy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1</w:t>
            </w:r>
          </w:p>
        </w:tc>
      </w:tr>
      <w:tr w14:paraId="21361EA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Performance Studies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Score and Screen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MU7017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Techniques and Technology for Composing for Film and Television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tbl>
      <w:tblPr>
        <w:tblCellSpacing w:w="15" w:type="dxa"/>
        <w:tblCellMar>
          <w:top w:w="15" w:type="dxa"/>
          <w:left w:w="15" w:type="dxa"/>
          <w:bottom w:w="15" w:type="dxa"/>
          <w:right w:w="15" w:type="dxa"/>
        </w:tblCellMar>
      </w:tblPr>
      <w:tblGrid>
        <w:gridCol w:w="4063"/>
        <w:gridCol w:w="830"/>
        <w:gridCol w:w="563"/>
        <w:gridCol w:w="508"/>
        <w:gridCol w:w="918"/>
        <w:gridCol w:w="886"/>
        <w:gridCol w:w="548"/>
        <w:gridCol w:w="575"/>
      </w:tblGrid>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Level 7 </w:t>
            </w: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MA Music </w:t>
            </w: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Core modules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Module code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Credit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Value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Level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Teaching Block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Pre-requisites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Full Time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Part Time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Major Project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MU7012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60 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Researching Music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1&amp;2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Optional Modules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 Advanced Production of Popular Music (v1 2019-20)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MU7006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or 2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Composing and Marketing Popular Music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or 2 </w:t>
            </w:r>
          </w:p>
          <w:p w:rsidRPr="66934EB1" w:rsidP="66934EB1">
            <w:pPr>
              <w:rPr>
                <w:rStyle w:val="normaltextrun"/>
                <w:rFonts w:ascii="Arial" w:eastAsia="Arial" w:hAnsi="Arial" w:cs="Arial"/>
                <w:color w:val="000000" w:themeColor="text1"/>
                <w:sz w:val="20"/>
                <w:szCs w:val="20"/>
                <w:lang w:val="en-US" w:eastAsia="en-US"/>
              </w:rPr>
            </w:pPr>
            <w:r w:rsidRPr="66934EB1">
              <w:rPr>
                <w:rStyle w:val="normaltextrun"/>
                <w:rFonts w:ascii="Arial" w:eastAsia="Arial" w:hAnsi="Arial" w:cs="Arial"/>
                <w:color w:val="000000" w:themeColor="text1"/>
                <w:sz w:val="20"/>
                <w:szCs w:val="20"/>
                <w:lang w:val="en-US" w:eastAsia="en-US"/>
              </w:rPr>
              <w:t>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Constructing Music Education in the UK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MU7005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or 2 </w:t>
            </w:r>
          </w:p>
          <w:p w:rsidRPr="66934EB1" w:rsidP="66934EB1">
            <w:pPr>
              <w:rPr>
                <w:rStyle w:val="normaltextrun"/>
                <w:rFonts w:ascii="Arial" w:eastAsia="Arial" w:hAnsi="Arial" w:cs="Arial"/>
                <w:color w:val="000000" w:themeColor="text1"/>
                <w:sz w:val="20"/>
                <w:szCs w:val="20"/>
                <w:lang w:val="en-US" w:eastAsia="en-US"/>
              </w:rPr>
            </w:pPr>
            <w:r w:rsidRPr="66934EB1">
              <w:rPr>
                <w:rStyle w:val="normaltextrun"/>
                <w:rFonts w:ascii="Arial" w:eastAsia="Arial" w:hAnsi="Arial" w:cs="Arial"/>
                <w:color w:val="000000" w:themeColor="text1"/>
                <w:sz w:val="20"/>
                <w:szCs w:val="20"/>
                <w:lang w:val="en-US" w:eastAsia="en-US"/>
              </w:rPr>
              <w:t>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Critical Aspects of Performance Presentation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MU7016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1&amp;2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or 2 </w:t>
            </w:r>
          </w:p>
          <w:p w:rsidRPr="66934EB1" w:rsidP="66934EB1">
            <w:pPr>
              <w:rPr>
                <w:rStyle w:val="normaltextrun"/>
                <w:rFonts w:ascii="Arial" w:eastAsia="Arial" w:hAnsi="Arial" w:cs="Arial"/>
                <w:color w:val="000000" w:themeColor="text1"/>
                <w:sz w:val="20"/>
                <w:szCs w:val="20"/>
                <w:lang w:val="en-US" w:eastAsia="en-US"/>
              </w:rPr>
            </w:pPr>
            <w:r w:rsidRPr="66934EB1">
              <w:rPr>
                <w:rStyle w:val="normaltextrun"/>
                <w:rFonts w:ascii="Arial" w:eastAsia="Arial" w:hAnsi="Arial" w:cs="Arial"/>
                <w:color w:val="000000" w:themeColor="text1"/>
                <w:sz w:val="20"/>
                <w:szCs w:val="20"/>
                <w:lang w:val="en-US" w:eastAsia="en-US"/>
              </w:rPr>
              <w:t>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International Music Education Psychology, Culture and Philosophy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MU7004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or 2 </w:t>
            </w:r>
          </w:p>
          <w:p w:rsidRPr="66934EB1" w:rsidP="66934EB1">
            <w:pPr>
              <w:rPr>
                <w:rStyle w:val="normaltextrun"/>
                <w:rFonts w:ascii="Arial" w:eastAsia="Arial" w:hAnsi="Arial" w:cs="Arial"/>
                <w:color w:val="000000" w:themeColor="text1"/>
                <w:sz w:val="20"/>
                <w:szCs w:val="20"/>
                <w:lang w:val="en-US" w:eastAsia="en-US"/>
              </w:rPr>
            </w:pPr>
            <w:r w:rsidRPr="66934EB1">
              <w:rPr>
                <w:rStyle w:val="normaltextrun"/>
                <w:rFonts w:ascii="Arial" w:eastAsia="Arial" w:hAnsi="Arial" w:cs="Arial"/>
                <w:color w:val="000000" w:themeColor="text1"/>
                <w:sz w:val="20"/>
                <w:szCs w:val="20"/>
                <w:lang w:val="en-US" w:eastAsia="en-US"/>
              </w:rPr>
              <w:t>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Performance Studies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MU7003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1&amp;2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or 2 </w:t>
            </w:r>
          </w:p>
          <w:p w:rsidRPr="66934EB1" w:rsidP="66934EB1">
            <w:pPr>
              <w:rPr>
                <w:rStyle w:val="normaltextrun"/>
                <w:rFonts w:ascii="Arial" w:eastAsia="Arial" w:hAnsi="Arial" w:cs="Arial"/>
                <w:color w:val="000000" w:themeColor="text1"/>
                <w:sz w:val="20"/>
                <w:szCs w:val="20"/>
                <w:lang w:val="en-US" w:eastAsia="en-US"/>
              </w:rPr>
            </w:pPr>
            <w:r w:rsidRPr="66934EB1">
              <w:rPr>
                <w:rStyle w:val="normaltextrun"/>
                <w:rFonts w:ascii="Arial" w:eastAsia="Arial" w:hAnsi="Arial" w:cs="Arial"/>
                <w:color w:val="000000" w:themeColor="text1"/>
                <w:sz w:val="20"/>
                <w:szCs w:val="20"/>
                <w:lang w:val="en-US" w:eastAsia="en-US"/>
              </w:rPr>
              <w:t>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Score and Screen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MU7017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or 2 </w:t>
            </w:r>
          </w:p>
          <w:p w:rsidRPr="66934EB1" w:rsidP="66934EB1">
            <w:pPr>
              <w:rPr>
                <w:rStyle w:val="normaltextrun"/>
                <w:rFonts w:ascii="Arial" w:eastAsia="Arial" w:hAnsi="Arial" w:cs="Arial"/>
                <w:color w:val="000000" w:themeColor="text1"/>
                <w:sz w:val="20"/>
                <w:szCs w:val="20"/>
                <w:lang w:val="en-US" w:eastAsia="en-US"/>
              </w:rPr>
            </w:pPr>
            <w:r w:rsidRPr="66934EB1">
              <w:rPr>
                <w:rStyle w:val="normaltextrun"/>
                <w:rFonts w:ascii="Arial" w:eastAsia="Arial" w:hAnsi="Arial" w:cs="Arial"/>
                <w:color w:val="000000" w:themeColor="text1"/>
                <w:sz w:val="20"/>
                <w:szCs w:val="20"/>
                <w:lang w:val="en-US" w:eastAsia="en-US"/>
              </w:rPr>
              <w:t>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Techniques and Technology for Composing for Film and Television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MU7008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or 2 </w:t>
            </w:r>
          </w:p>
          <w:p w:rsidRPr="66934EB1" w:rsidP="66934EB1">
            <w:pPr>
              <w:rPr>
                <w:rStyle w:val="normaltextrun"/>
                <w:rFonts w:ascii="Arial" w:eastAsia="Arial" w:hAnsi="Arial" w:cs="Arial"/>
                <w:color w:val="000000" w:themeColor="text1"/>
                <w:sz w:val="20"/>
                <w:szCs w:val="20"/>
                <w:lang w:val="en-US" w:eastAsia="en-US"/>
              </w:rPr>
            </w:pPr>
            <w:r w:rsidRPr="66934EB1">
              <w:rPr>
                <w:rStyle w:val="normaltextrun"/>
                <w:rFonts w:ascii="Arial" w:eastAsia="Arial" w:hAnsi="Arial" w:cs="Arial"/>
                <w:color w:val="000000" w:themeColor="text1"/>
                <w:sz w:val="20"/>
                <w:szCs w:val="20"/>
                <w:lang w:val="en-US" w:eastAsia="en-US"/>
              </w:rPr>
              <w:t> </w:t>
            </w:r>
          </w:p>
        </w:tc>
      </w:tr>
    </w:tbl>
    <w:p w:rsidR="035B6837" w:rsidP="66934EB1" w14:paraId="31CC0753"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Teaching and Learning </w:t>
      </w:r>
    </w:p>
    <w:p w:rsidRPr="503DC450" w:rsidP="007D20BC">
      <w:pPr>
        <w:rPr>
          <w:rFonts w:ascii="Arial" w:hAnsi="Arial" w:cs="Arial"/>
          <w:sz w:val="22"/>
          <w:szCs w:val="22"/>
        </w:rPr>
      </w:pPr>
      <w:r w:rsidRPr="503DC450">
        <w:rPr>
          <w:rFonts w:ascii="Arial" w:hAnsi="Arial" w:cs="Arial"/>
          <w:sz w:val="22"/>
          <w:szCs w:val="22"/>
        </w:rPr>
        <w:t>The teaching and learning strategies are designed to enable the students to acquire a broad knowledge of music, to engage in more detail with particular musical specialisms, to develop research skills and to undertake a substantial research project in the form of a composition folio or dissertation. Students will study a common core of modules and complement these with a selection made from other named music Master’s awards. Tutor guidance will be provided to support module selection, to ensure a balanced programme and one that matches the entry profile, the aspirations of the individual and the learning outcomes of the award. Depending upon the choice of optional modules, the learning experience will culminate in a substantial research project in the form of either a portfolio of original compositions or 15,000-word dissertation.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The main foci of the teaching are on the development of the students' research skills, creative approaches, practical skills and critical analytical tools, so that they can develop autonomy in their learning. In addition, students taking creative modules such as performance or composition will be supported in the development of their own informed and original creative voices, taking into account recent and current research as well as industry and artistic practices.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A variety of learning and teaching methods is central to the delivery of the MMus Music Performance at Kingston. Strategies include: </w:t>
      </w:r>
    </w:p>
    <w:p w:rsidRPr="503DC450" w:rsidP="007D20BC">
      <w:pPr>
        <w:numPr>
          <w:ilvl w:val="0"/>
          <w:numId w:val="15"/>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Lecture; </w:t>
      </w:r>
    </w:p>
    <w:p w:rsidRPr="503DC450" w:rsidP="007D20BC">
      <w:pPr>
        <w:numPr>
          <w:ilvl w:val="0"/>
          <w:numId w:val="15"/>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Seminar; </w:t>
      </w:r>
    </w:p>
    <w:p w:rsidRPr="503DC450" w:rsidP="007D20BC">
      <w:pPr>
        <w:numPr>
          <w:ilvl w:val="0"/>
          <w:numId w:val="15"/>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Workshop and practical demonstration;  </w:t>
      </w:r>
    </w:p>
    <w:p w:rsidRPr="503DC450" w:rsidP="007D20BC">
      <w:pPr>
        <w:numPr>
          <w:ilvl w:val="0"/>
          <w:numId w:val="15"/>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Studio–based work; </w:t>
      </w:r>
    </w:p>
    <w:p w:rsidRPr="503DC450" w:rsidP="007D20BC">
      <w:pPr>
        <w:numPr>
          <w:ilvl w:val="0"/>
          <w:numId w:val="15"/>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Professional recording session; </w:t>
      </w:r>
    </w:p>
    <w:p w:rsidRPr="503DC450" w:rsidP="007D20BC">
      <w:pPr>
        <w:numPr>
          <w:ilvl w:val="0"/>
          <w:numId w:val="15"/>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Individual tutorial.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Keynote lectures will be used to introduce topics and to disseminate key information, both theoretical and practical. These will be complemented by seminars and debates where students will be involved in the discussion and critique of controversial issues, enabling them to clarify their understanding and engage with the material. Students will also be encouraged to undertake informal presentations which will enhance communication, analysis and synthesis skills, and prepare them for assessment.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Workshops and studio-based work will be central to the delivery of the optional modules focusing on performance, composition, and music technology, where hands-on experience is integral. Students will be supported in the development of self- and peer-assessment skills through critiquing their own work and that of others. This process has the added benefit of offering continual formative feedback.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The Major Project enables the student to specialise in a particular genre of composition or an investigation of a particular interest in music. Students are expected to take responsibility for their own learning in terms of background research, practical preparation and analysis, and to work independently and self critically. The Major Project is supported through subject specific seminars and individual tutorials.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In addition to face-to-face contact between students and teaching staff, a virtual learning environment (Canvas) will provide students with access to a range of materials for each module. These materials will typically include the module guide, lecture slides and handouts, audio-visual material and links to useful web-resources. Use of the collaborative tools offered by Canvas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Canvas can be used from any networked personal computer in the University as well as from most personal computers connected to the Internet.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Assessment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 Students will be provided with formative assessment opportunities throughout the course to practise and develop their proficiency in the range of assessment methods utilised.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In summary, the nature of the assessment of the course will utilise a combination of: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Annotated bibliography;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Academic debate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Critique /Critical review;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Essay;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Performance;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Portfolio of Compositions / Recordings;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Position paper;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Practical project: planning, implementation and evaluation;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Live and pre-recorded Presentations;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Recording Project (proposal, documentation and recordings);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Research paper.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rPr>
      </w:pPr>
      <w:r w:rsidRPr="503DC450">
        <w:rPr>
          <w:rFonts w:ascii="Arial" w:hAnsi="Arial" w:cs="Arial"/>
          <w:sz w:val="22"/>
          <w:szCs w:val="22"/>
        </w:rPr>
        <w:t>Creative outcomes are assessed by a portfolio of compositions (with accompanying recording score and evaluation), recordings, or sound-to-picture music files. Students are required to develop a distinctive voice and demonstrate a range of techniques, compose imaginatively, competence in the use of instruments, produce a genre-dependent score and critically appraise their own work. Depending on the nature and style of the compositions, the scores could take the form of conventional notated scores or take the form of DAW projects with rendered stereo outputs.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rPr>
      </w:pPr>
      <w:r w:rsidRPr="503DC450">
        <w:rPr>
          <w:rFonts w:ascii="Arial" w:hAnsi="Arial" w:cs="Arial"/>
          <w:sz w:val="22"/>
          <w:szCs w:val="22"/>
        </w:rPr>
        <w:t>The MA in Music culminates in the Major Project which enables the student to undertake an original piece of research or creative work on a topic of their own choice in the form of either a dissertation or equivalent, or a folio of Compositions with supporting recording and critical commentary. Students undertaking the written dissertation will demonstrate the ability to undertake independent reading and research, analyse, critique, challenge and synthesize ideas, offer a personal viewpoint, and communicate with competence and clarity to the audience.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will be introduced to the nature of teaching and learning as part of the induction process and are supported by: </w:t>
      </w:r>
    </w:p>
    <w:p w:rsidRPr="503DC450" w:rsidP="00B40E99">
      <w:pPr>
        <w:rPr>
          <w:rFonts w:ascii="Arial" w:hAnsi="Arial" w:cs="Arial"/>
          <w:sz w:val="22"/>
          <w:szCs w:val="22"/>
        </w:rPr>
      </w:pPr>
      <w:r w:rsidRPr="503DC450">
        <w:rPr>
          <w:rFonts w:ascii="Arial" w:hAnsi="Arial" w:cs="Arial"/>
          <w:sz w:val="22"/>
          <w:szCs w:val="22"/>
        </w:rPr>
        <w:t> </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A Module Leader for each module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2"/>
          <w:szCs w:val="22"/>
        </w:rPr>
        <w:t>A Course Leader to help students understand the programme structure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2"/>
          <w:szCs w:val="22"/>
        </w:rPr>
        <w:t>Personal Tutors to provide academic and personal support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2"/>
          <w:szCs w:val="22"/>
        </w:rPr>
        <w:t>Pre-sessional and year-long English language development programme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2"/>
          <w:szCs w:val="22"/>
        </w:rPr>
        <w:t>Bespoke language and academic writing support for core music research and music education modules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2"/>
          <w:szCs w:val="22"/>
        </w:rPr>
        <w:t>One-to-one writing support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2"/>
          <w:szCs w:val="22"/>
        </w:rPr>
        <w:t>A placement tutor to give general advice on placements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2"/>
          <w:szCs w:val="22"/>
        </w:rPr>
        <w:t>Technical support to advise students on IT and the technical operation of the studios and to advise and support them in the creation of curricular and extra-curricular studio projects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2"/>
          <w:szCs w:val="22"/>
        </w:rPr>
        <w:t>A designated Course Administrator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2"/>
          <w:szCs w:val="22"/>
        </w:rPr>
        <w:t>An induction week at the beginning of each new academic session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2"/>
          <w:szCs w:val="22"/>
        </w:rPr>
        <w:t>Staff Student Consultative Committee </w:t>
      </w:r>
    </w:p>
    <w:p w:rsidRPr="503DC450" w:rsidP="00B40E99">
      <w:pPr>
        <w:numPr>
          <w:ilvl w:val="0"/>
          <w:numId w:val="20"/>
        </w:numPr>
        <w:ind w:left="720" w:hanging="360"/>
        <w:jc w:val="left"/>
        <w:rPr>
          <w:rFonts w:ascii="Arial" w:hAnsi="Arial" w:cs="Arial"/>
          <w:sz w:val="22"/>
          <w:szCs w:val="22"/>
        </w:rPr>
      </w:pPr>
      <w:r w:rsidRPr="503DC450">
        <w:rPr>
          <w:rFonts w:ascii="Arial" w:hAnsi="Arial" w:cs="Arial"/>
          <w:sz w:val="22"/>
          <w:szCs w:val="22"/>
        </w:rPr>
        <w:t>Canvas – a versatile online interactive intranet and learning environment accessible both on and off-site </w:t>
      </w:r>
    </w:p>
    <w:p w:rsidRPr="503DC450" w:rsidP="00B40E99">
      <w:pPr>
        <w:numPr>
          <w:ilvl w:val="0"/>
          <w:numId w:val="20"/>
        </w:numPr>
        <w:ind w:left="720" w:hanging="360"/>
        <w:jc w:val="left"/>
        <w:rPr>
          <w:rFonts w:ascii="Arial" w:hAnsi="Arial" w:cs="Arial"/>
          <w:sz w:val="22"/>
          <w:szCs w:val="22"/>
        </w:rPr>
      </w:pPr>
      <w:r w:rsidRPr="503DC450">
        <w:rPr>
          <w:rFonts w:ascii="Arial" w:hAnsi="Arial" w:cs="Arial"/>
          <w:sz w:val="22"/>
          <w:szCs w:val="22"/>
        </w:rPr>
        <w:t>LinkedIn Learning and Skills For Study – online platforms offering self-paced software tutorials  </w:t>
      </w:r>
    </w:p>
    <w:p w:rsidRPr="503DC450" w:rsidP="00B40E99">
      <w:pPr>
        <w:numPr>
          <w:ilvl w:val="0"/>
          <w:numId w:val="20"/>
        </w:numPr>
        <w:ind w:left="720" w:hanging="360"/>
        <w:jc w:val="left"/>
        <w:rPr>
          <w:rFonts w:ascii="Arial" w:hAnsi="Arial" w:cs="Arial"/>
          <w:sz w:val="22"/>
          <w:szCs w:val="22"/>
        </w:rPr>
      </w:pPr>
      <w:r w:rsidRPr="503DC450">
        <w:rPr>
          <w:rFonts w:ascii="Arial" w:hAnsi="Arial" w:cs="Arial"/>
          <w:sz w:val="22"/>
          <w:szCs w:val="22"/>
        </w:rPr>
        <w:t>A substantial Academic Success Centre that provides academic skills support for both UG and PG students  </w:t>
      </w:r>
    </w:p>
    <w:p w:rsidRPr="503DC450" w:rsidP="00B40E99">
      <w:pPr>
        <w:numPr>
          <w:ilvl w:val="0"/>
          <w:numId w:val="20"/>
        </w:numPr>
        <w:ind w:left="720" w:hanging="360"/>
        <w:jc w:val="left"/>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 </w:t>
      </w:r>
    </w:p>
    <w:p w:rsidRPr="503DC450" w:rsidP="00B40E99">
      <w:pPr>
        <w:numPr>
          <w:ilvl w:val="0"/>
          <w:numId w:val="20"/>
        </w:numPr>
        <w:ind w:left="720" w:hanging="360"/>
        <w:jc w:val="left"/>
        <w:rPr>
          <w:rFonts w:ascii="Arial" w:hAnsi="Arial" w:cs="Arial"/>
          <w:sz w:val="22"/>
          <w:szCs w:val="22"/>
        </w:rPr>
      </w:pPr>
      <w:r w:rsidRPr="503DC450">
        <w:rPr>
          <w:rFonts w:ascii="Arial" w:hAnsi="Arial" w:cs="Arial"/>
          <w:sz w:val="22"/>
          <w:szCs w:val="22"/>
        </w:rPr>
        <w:t>A Student Achievement Officer who provides pastoral support </w:t>
      </w:r>
    </w:p>
    <w:p w:rsidRPr="503DC450" w:rsidP="00B40E99">
      <w:pPr>
        <w:numPr>
          <w:ilvl w:val="0"/>
          <w:numId w:val="21"/>
        </w:numPr>
        <w:ind w:left="720" w:hanging="360"/>
        <w:jc w:val="left"/>
        <w:rPr>
          <w:rFonts w:ascii="Arial" w:hAnsi="Arial" w:cs="Arial"/>
          <w:sz w:val="22"/>
          <w:szCs w:val="22"/>
        </w:rPr>
      </w:pPr>
      <w:r w:rsidRPr="503DC450">
        <w:rPr>
          <w:rFonts w:ascii="Arial" w:hAnsi="Arial" w:cs="Arial"/>
          <w:sz w:val="22"/>
          <w:szCs w:val="22"/>
        </w:rPr>
        <w:t>Disability and Mental Health support  </w:t>
      </w:r>
    </w:p>
    <w:p w:rsidRPr="503DC450" w:rsidP="00B40E99">
      <w:pPr>
        <w:numPr>
          <w:ilvl w:val="0"/>
          <w:numId w:val="21"/>
        </w:numPr>
        <w:ind w:left="720" w:hanging="360"/>
        <w:jc w:val="left"/>
        <w:rPr>
          <w:rFonts w:ascii="Arial" w:hAnsi="Arial" w:cs="Arial"/>
          <w:sz w:val="22"/>
          <w:szCs w:val="22"/>
        </w:rPr>
      </w:pPr>
      <w:r w:rsidRPr="503DC450">
        <w:rPr>
          <w:rFonts w:ascii="Arial" w:hAnsi="Arial" w:cs="Arial"/>
          <w:sz w:val="22"/>
          <w:szCs w:val="22"/>
        </w:rPr>
        <w:t>The Union of Kingston Students </w:t>
      </w:r>
    </w:p>
    <w:p w:rsidRPr="503DC450" w:rsidP="00B40E99">
      <w:pPr>
        <w:numPr>
          <w:ilvl w:val="0"/>
          <w:numId w:val="21"/>
        </w:numPr>
        <w:ind w:left="720" w:hanging="360"/>
        <w:jc w:val="left"/>
        <w:rPr>
          <w:rFonts w:ascii="Arial" w:hAnsi="Arial" w:cs="Arial"/>
          <w:sz w:val="22"/>
          <w:szCs w:val="22"/>
        </w:rPr>
      </w:pPr>
      <w:r w:rsidRPr="503DC450">
        <w:rPr>
          <w:rFonts w:ascii="Arial" w:hAnsi="Arial" w:cs="Arial"/>
          <w:sz w:val="22"/>
          <w:szCs w:val="22"/>
        </w:rPr>
        <w:t>Careers and Employability Services Team </w:t>
      </w:r>
    </w:p>
    <w:p w:rsidRPr="503DC450" w:rsidP="00B40E99">
      <w:pPr>
        <w:numPr>
          <w:ilvl w:val="0"/>
          <w:numId w:val="21"/>
        </w:numPr>
        <w:ind w:left="720" w:hanging="360"/>
        <w:jc w:val="left"/>
        <w:rPr>
          <w:rFonts w:ascii="Arial" w:hAnsi="Arial" w:cs="Arial"/>
          <w:sz w:val="22"/>
          <w:szCs w:val="22"/>
        </w:rPr>
      </w:pPr>
      <w:r w:rsidRPr="503DC450">
        <w:rPr>
          <w:rFonts w:ascii="Arial" w:hAnsi="Arial" w:cs="Arial"/>
          <w:sz w:val="22"/>
          <w:szCs w:val="22"/>
        </w:rPr>
        <w:t>Faculty-aligned Careers Advisers who run workshops, weekly drop-ins and 1:1 appointments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  </w:t>
      </w:r>
    </w:p>
    <w:p w:rsidRPr="503DC450" w:rsidP="00A92C9B">
      <w:pPr>
        <w:numPr>
          <w:ilvl w:val="0"/>
          <w:numId w:val="22"/>
        </w:numPr>
        <w:ind w:left="720" w:hanging="360"/>
        <w:jc w:val="left"/>
        <w:rPr>
          <w:rFonts w:ascii="Arial" w:hAnsi="Arial" w:cs="Arial"/>
          <w:sz w:val="22"/>
          <w:szCs w:val="22"/>
        </w:rPr>
      </w:pPr>
      <w:r w:rsidRPr="503DC450">
        <w:rPr>
          <w:rFonts w:ascii="Arial" w:hAnsi="Arial" w:cs="Arial"/>
          <w:sz w:val="22"/>
          <w:szCs w:val="22"/>
        </w:rPr>
        <w:t>External Examiners </w:t>
      </w:r>
    </w:p>
    <w:p w:rsidRPr="503DC450" w:rsidP="00A92C9B">
      <w:pPr>
        <w:numPr>
          <w:ilvl w:val="0"/>
          <w:numId w:val="22"/>
        </w:numPr>
        <w:ind w:left="720" w:hanging="360"/>
        <w:jc w:val="left"/>
        <w:rPr>
          <w:rFonts w:ascii="Arial" w:hAnsi="Arial" w:cs="Arial"/>
          <w:sz w:val="22"/>
          <w:szCs w:val="22"/>
        </w:rPr>
      </w:pPr>
      <w:r w:rsidRPr="503DC450">
        <w:rPr>
          <w:rFonts w:ascii="Arial" w:hAnsi="Arial" w:cs="Arial"/>
          <w:sz w:val="22"/>
          <w:szCs w:val="22"/>
        </w:rPr>
        <w:t>Student Voice Committee </w:t>
      </w:r>
    </w:p>
    <w:p w:rsidRPr="503DC450" w:rsidP="00A92C9B">
      <w:pPr>
        <w:numPr>
          <w:ilvl w:val="0"/>
          <w:numId w:val="22"/>
        </w:numPr>
        <w:ind w:left="720" w:hanging="360"/>
        <w:jc w:val="left"/>
        <w:rPr>
          <w:rFonts w:ascii="Arial" w:hAnsi="Arial" w:cs="Arial"/>
          <w:sz w:val="22"/>
          <w:szCs w:val="22"/>
        </w:rPr>
      </w:pPr>
      <w:r w:rsidRPr="503DC450">
        <w:rPr>
          <w:rFonts w:ascii="Arial" w:hAnsi="Arial" w:cs="Arial"/>
          <w:sz w:val="22"/>
          <w:szCs w:val="22"/>
        </w:rPr>
        <w:t>Student representation at the Course, School and Faculty levels </w:t>
      </w:r>
    </w:p>
    <w:p w:rsidRPr="503DC450" w:rsidP="00A92C9B">
      <w:pPr>
        <w:numPr>
          <w:ilvl w:val="0"/>
          <w:numId w:val="23"/>
        </w:numPr>
        <w:ind w:left="720" w:hanging="360"/>
        <w:jc w:val="left"/>
        <w:rPr>
          <w:rFonts w:ascii="Arial" w:hAnsi="Arial" w:cs="Arial"/>
          <w:sz w:val="22"/>
          <w:szCs w:val="22"/>
        </w:rPr>
      </w:pPr>
      <w:r w:rsidRPr="503DC450">
        <w:rPr>
          <w:rFonts w:ascii="Arial" w:hAnsi="Arial" w:cs="Arial"/>
          <w:sz w:val="22"/>
          <w:szCs w:val="22"/>
        </w:rPr>
        <w:t>School Education Committee with student representation </w:t>
      </w:r>
    </w:p>
    <w:p w:rsidRPr="503DC450" w:rsidP="00A92C9B">
      <w:pPr>
        <w:numPr>
          <w:ilvl w:val="0"/>
          <w:numId w:val="23"/>
        </w:numPr>
        <w:ind w:left="720" w:hanging="360"/>
        <w:jc w:val="left"/>
        <w:rPr>
          <w:rFonts w:ascii="Arial" w:hAnsi="Arial" w:cs="Arial"/>
          <w:sz w:val="22"/>
          <w:szCs w:val="22"/>
        </w:rPr>
      </w:pPr>
      <w:r w:rsidRPr="503DC450">
        <w:rPr>
          <w:rFonts w:ascii="Arial" w:hAnsi="Arial" w:cs="Arial"/>
          <w:sz w:val="22"/>
          <w:szCs w:val="22"/>
        </w:rPr>
        <w:t>Annual Monitoring and Enhancement </w:t>
      </w:r>
    </w:p>
    <w:p w:rsidRPr="503DC450" w:rsidP="00A92C9B">
      <w:pPr>
        <w:numPr>
          <w:ilvl w:val="0"/>
          <w:numId w:val="23"/>
        </w:numPr>
        <w:ind w:left="720" w:hanging="360"/>
        <w:jc w:val="left"/>
        <w:rPr>
          <w:rFonts w:ascii="Arial" w:hAnsi="Arial" w:cs="Arial"/>
          <w:sz w:val="22"/>
          <w:szCs w:val="22"/>
        </w:rPr>
      </w:pPr>
      <w:r w:rsidRPr="503DC450">
        <w:rPr>
          <w:rFonts w:ascii="Arial" w:hAnsi="Arial" w:cs="Arial"/>
          <w:sz w:val="22"/>
          <w:szCs w:val="22"/>
        </w:rPr>
        <w:t>Student evaluation including Early Module Reviews and MEQs (Module Evaluation Questionnaires) for each module and a PTES (Postgraduate Taught Experience Survey) </w:t>
      </w:r>
    </w:p>
    <w:p w:rsidRPr="503DC450" w:rsidP="00A92C9B">
      <w:pPr>
        <w:numPr>
          <w:ilvl w:val="0"/>
          <w:numId w:val="23"/>
        </w:numPr>
        <w:ind w:left="720" w:hanging="360"/>
        <w:jc w:val="left"/>
        <w:rPr>
          <w:rFonts w:ascii="Arial" w:hAnsi="Arial" w:cs="Arial"/>
          <w:sz w:val="22"/>
          <w:szCs w:val="22"/>
        </w:rPr>
      </w:pPr>
      <w:r w:rsidRPr="503DC450">
        <w:rPr>
          <w:rFonts w:ascii="Arial" w:hAnsi="Arial" w:cs="Arial"/>
          <w:sz w:val="22"/>
          <w:szCs w:val="22"/>
        </w:rPr>
        <w:t>Moderation policies </w:t>
      </w:r>
    </w:p>
    <w:p w:rsidRPr="503DC450" w:rsidP="00A92C9B">
      <w:pPr>
        <w:numPr>
          <w:ilvl w:val="0"/>
          <w:numId w:val="24"/>
        </w:numPr>
        <w:ind w:left="720" w:hanging="360"/>
        <w:jc w:val="left"/>
        <w:rPr>
          <w:rFonts w:ascii="Arial" w:hAnsi="Arial" w:cs="Arial"/>
          <w:sz w:val="22"/>
          <w:szCs w:val="22"/>
        </w:rPr>
      </w:pPr>
      <w:r w:rsidRPr="503DC450">
        <w:rPr>
          <w:rFonts w:ascii="Arial" w:hAnsi="Arial" w:cs="Arial"/>
          <w:sz w:val="22"/>
          <w:szCs w:val="22"/>
        </w:rPr>
        <w:t>Feedback from employers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A high proportion of full-time MA/MMus students obtain employment on graduation, finding posts either in the music industry, subjects allied to music, teaching or enrol for a MPhil/PhD either at home, or abroad. For those students who are already in employment and are undertaking the MA in a part-time mode, the award may accelerate promotion and open up new opportunities. </w:t>
      </w:r>
    </w:p>
    <w:p w:rsidRPr="503DC450" w:rsidP="001A372B">
      <w:pPr>
        <w:rPr>
          <w:rFonts w:ascii="Arial" w:hAnsi="Arial" w:cs="Arial"/>
          <w:sz w:val="22"/>
          <w:szCs w:val="22"/>
          <w:lang w:val="en-US" w:eastAsia="en-US"/>
        </w:rPr>
      </w:pPr>
      <w:r w:rsidRPr="503DC450">
        <w:rPr>
          <w:rFonts w:ascii="Arial" w:hAnsi="Arial" w:cs="Arial"/>
          <w:sz w:val="22"/>
          <w:szCs w:val="22"/>
          <w:lang w:val="en-US" w:eastAsia="en-US"/>
        </w:rPr>
        <w:t> </w:t>
      </w:r>
    </w:p>
    <w:p w:rsidRPr="503DC450" w:rsidP="001A372B">
      <w:pPr>
        <w:rPr>
          <w:rFonts w:ascii="Arial" w:hAnsi="Arial" w:cs="Arial"/>
          <w:sz w:val="22"/>
          <w:szCs w:val="22"/>
        </w:rPr>
      </w:pPr>
      <w:r w:rsidRPr="503DC450">
        <w:rPr>
          <w:rFonts w:ascii="Arial" w:hAnsi="Arial" w:cs="Arial"/>
          <w:sz w:val="22"/>
          <w:szCs w:val="22"/>
        </w:rPr>
        <w:t>The particular nature of the MA Music at Kingston, combining theoretical knowledge and practical skills, offers a broad musical curriculum, and equips graduates for a broad range of careers which have included music and arts administration, the music business, school, higher education and instrumental teaching, outreach work and educational workshops, music composition, arranging, professional performance, conducting and music publishing. The high level of research and transferable skills that students acquire during their studies also makes available to them careers in both the commercial and business environment.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NA</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ind w:left="360"/>
        <w:rPr>
          <w:rFonts w:ascii="Arial" w:hAnsi="Arial" w:cs="Arial"/>
          <w:sz w:val="22"/>
          <w:szCs w:val="22"/>
        </w:rPr>
      </w:pPr>
      <w:r w:rsidRPr="503DC450">
        <w:rPr>
          <w:rFonts w:ascii="Arial" w:hAnsi="Arial" w:cs="Arial"/>
          <w:sz w:val="22"/>
          <w:szCs w:val="22"/>
        </w:rPr>
        <w:t> </w:t>
      </w:r>
      <w:r w:rsidRPr="503DC450">
        <w:rPr>
          <w:rFonts w:ascii="Arial" w:hAnsi="Arial" w:cs="Arial"/>
          <w:b/>
          <w:bCs/>
          <w:sz w:val="22"/>
          <w:szCs w:val="22"/>
        </w:rPr>
        <w:t>Course page on the KU website:</w:t>
      </w:r>
    </w:p>
    <w:p w:rsidRPr="503DC450" w:rsidP="00A92C9B">
      <w:pPr>
        <w:ind w:left="360"/>
        <w:rPr>
          <w:rFonts w:ascii="Arial" w:hAnsi="Arial" w:cs="Arial"/>
          <w:sz w:val="22"/>
          <w:szCs w:val="22"/>
        </w:rPr>
      </w:pPr>
      <w:hyperlink r:id="rId11" w:history="1">
        <w:r w:rsidRPr="503DC450">
          <w:rPr>
            <w:rFonts w:ascii="Arial" w:hAnsi="Arial" w:cs="Arial"/>
            <w:sz w:val="22"/>
            <w:szCs w:val="22"/>
            <w:u w:val="single"/>
          </w:rPr>
          <w:t>https://www.kingston.ac.uk/postgraduate-course/music-ma/</w:t>
        </w:r>
      </w:hyperlink>
      <w:r w:rsidRPr="503DC450">
        <w:rPr>
          <w:rFonts w:ascii="Arial" w:hAnsi="Arial" w:cs="Arial"/>
          <w:sz w:val="22"/>
          <w:szCs w:val="22"/>
        </w:rPr>
        <w:t xml:space="preserve">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9"/>
        <w:gridCol w:w="316"/>
        <w:gridCol w:w="818"/>
        <w:gridCol w:w="81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MU7001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MU7012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postgraduate-course/music-ma/"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F9C6FE2-C91B-44CE-8C0F-2046CC054F3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