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Preparatory Year in Pharmacy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Preparatory Year in Pharmacy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 intermediate award</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One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Two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From A levels:                    64UCAS points from two A2 subjects.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90 credit diploma from Applied Science or Medical Science (but NOT Health and Social Care BTEC)</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Diploma:                Pass in Access course with minimum of 60 credits of which 45 must be at the higher level (but NOT Healthcare or Nursing access)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NB:  Where the above qualifications are in appropriate subjects then applicants may be deemed overqualified for entry onto the Foundation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      GCSE (A*–C or comparable numeric score under the reformed GCSE grading): minimum of five subjects including English Language, Mathematics and Double Award Science or equivalent</w:t>
            </w:r>
            <w:r w:rsidRPr="2030048C">
              <w:rPr>
                <w:rStyle w:val="normaltextrun"/>
                <w:rFonts w:ascii="Arial" w:eastAsia="Arial" w:hAnsi="Arial" w:cs="Arial"/>
                <w:b w:val="0"/>
                <w:bCs w:val="0"/>
                <w:color w:val="000000"/>
                <w:sz w:val="22"/>
                <w:szCs w:val="22"/>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Entry for </w:t>
            </w:r>
            <w:r w:rsidRPr="2030048C">
              <w:rPr>
                <w:rStyle w:val="normaltextrun"/>
                <w:rFonts w:ascii="Arial" w:eastAsia="Arial" w:hAnsi="Arial" w:cs="Arial"/>
                <w:b w:val="0"/>
                <w:bCs w:val="0"/>
                <w:color w:val="000000"/>
                <w:sz w:val="22"/>
                <w:szCs w:val="22"/>
                <w:shd w:val="clear" w:color="auto" w:fill="FFFFFF"/>
              </w:rPr>
              <w:t xml:space="preserve">Preparatory </w:t>
            </w:r>
            <w:r w:rsidRPr="2030048C">
              <w:rPr>
                <w:rStyle w:val="normaltextrun"/>
                <w:rFonts w:ascii="Arial" w:eastAsia="Arial" w:hAnsi="Arial" w:cs="Arial"/>
                <w:b w:val="0"/>
                <w:bCs w:val="0"/>
                <w:color w:val="000000"/>
                <w:sz w:val="22"/>
                <w:szCs w:val="22"/>
                <w:shd w:val="clear" w:color="auto" w:fill="FFFFFF"/>
              </w:rPr>
              <w:t>Pharmacy requires a minimum IELTS score of 6.5 (with a minimum of 6 in any component) for those for whom English is not their first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Mature applicants with vocational experience may be considered but offers will be subject to interview.</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Kingston University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Calibri" w:eastAsia="Calibri" w:hAnsi="Calibri" w:cs="Calibri"/>
                <w:b/>
                <w:bCs/>
                <w:color w:val="000000" w:themeColor="text1" w:themeShade="FF" w:themeTint="FF"/>
                <w:sz w:val="22"/>
                <w:szCs w:val="22"/>
              </w:rPr>
            </w:pPr>
          </w:p>
          <w:p w:rsidR="5D711985" w:rsidRPr="158602C4" w:rsidP="158602C4">
            <w:pPr>
              <w:pStyle w:val="p"/>
              <w:shd w:val="clear" w:color="auto" w:fill="FFFFFE"/>
              <w:spacing w:before="0" w:beforeAutospacing="0" w:after="20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 xml:space="preserve">All students on the Pharmacy Route are </w:t>
            </w:r>
            <w:r w:rsidRPr="158602C4">
              <w:rPr>
                <w:rStyle w:val="normaltextrun"/>
                <w:rFonts w:ascii="Calibri" w:eastAsia="Calibri" w:hAnsi="Calibri" w:cs="Calibri"/>
                <w:b w:val="0"/>
                <w:bCs w:val="0"/>
                <w:color w:val="000000" w:themeColor="text1" w:themeShade="FF" w:themeTint="FF"/>
                <w:sz w:val="22"/>
                <w:szCs w:val="22"/>
              </w:rPr>
              <w:t>subject to the Fitness to Practise regulations for pharmacy in addition to the University Student Disciplinary rules.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Programme Introduction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Preparatory Year in Pharmacy forms part of the University’s commitment to widening participation, acknowledging that students with potential to succeed at degree level may come from a wide range of backgrounds and educational experiences.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Thus, the Preparatory Pharmacy offers an alternative route of entry for applicants who lack the traditional entry requirements to join year one of the Undergraduate Masters Pharmacy course. Students on the course will fall into three major categories: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Mature students returning to full-time education, often with a mix of vocational experience and qualifications.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who either have non-subject appropriate A-levels or lack appropriate A-levels or equivalent qualifications for their chosen degree course.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Students who have been identified as having potential to undertake such subjects but who would benefit from an additional year of study to realise this potential.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There is a strong emphasis on the acquisition of practical skills and there is a high level of such work during the year. Experience has shown that such approach provides Foundation students with an advantage upon progression to level 4. Since many students on this programme lack academic confidence, the utilisation of formative assessment is essential to allow opportunities to develop knowledge and key skills before undertaking summative assessments.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centrepiece of the </w:t>
      </w:r>
      <w:r w:rsidRPr="2030048C">
        <w:rPr>
          <w:rStyle w:val="normaltextrun"/>
          <w:rFonts w:ascii="Arial" w:hAnsi="Arial" w:cs="Arial"/>
          <w:color w:val="000000" w:themeColor="text1"/>
          <w:sz w:val="22"/>
          <w:szCs w:val="22"/>
          <w:shd w:val="clear" w:color="auto" w:fill="FFFFFF"/>
        </w:rPr>
        <w:t xml:space="preserve">Preparatory </w:t>
      </w:r>
      <w:r w:rsidRPr="2030048C">
        <w:rPr>
          <w:rStyle w:val="normaltextrun"/>
          <w:rFonts w:ascii="Arial" w:hAnsi="Arial" w:cs="Arial"/>
          <w:color w:val="000000" w:themeColor="text1"/>
          <w:sz w:val="22"/>
          <w:szCs w:val="22"/>
          <w:shd w:val="clear" w:color="auto" w:fill="FFFFFF"/>
        </w:rPr>
        <w:t>year is the ‘Professional and Scientific Skills for Pharmacy’.  This module is designed to ‘mesh’ with the other subject-specific modules on the programme whereby skills and formative assessments developed in the Skills module support activities and summative assessments in the subject-specific modules. The Skills module culminates with a ‘Capstone’ element specific to skills and knowledge obtained in the modules and applied to a topic associated with pharmacy.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aims to prepare students for ultimate entry into the pharmacy profession and is introduced to moral, ethical and professional obligations relevant to this status and are subject to the Code of Conduct which has been developed by the General Pharmaceutical Council (GPhC) for all students of Pharmacy.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Previous experience has demonstrated that those who progress from the Foundation year are well prepared for academic success, often outperforming their counterparts in level 4 and contributing greatly to the University student community.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main aims of the </w:t>
      </w:r>
      <w:r w:rsidRPr="2030048C">
        <w:rPr>
          <w:rStyle w:val="normaltextrun"/>
          <w:rFonts w:ascii="Arial" w:hAnsi="Arial" w:cs="Arial"/>
          <w:color w:val="000000" w:themeColor="text1"/>
          <w:sz w:val="22"/>
          <w:szCs w:val="22"/>
          <w:shd w:val="clear" w:color="auto" w:fill="FFFFFF"/>
        </w:rPr>
        <w:t xml:space="preserve">Preparatory </w:t>
      </w:r>
      <w:r w:rsidRPr="2030048C">
        <w:rPr>
          <w:rStyle w:val="normaltextrun"/>
          <w:rFonts w:ascii="Arial" w:hAnsi="Arial" w:cs="Arial"/>
          <w:color w:val="000000" w:themeColor="text1"/>
          <w:sz w:val="24"/>
          <w:szCs w:val="24"/>
          <w:shd w:val="clear" w:color="auto" w:fill="FFFFFF"/>
        </w:rPr>
        <w:t>year are:</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from a range of educational backgrounds with a </w:t>
      </w:r>
      <w:r w:rsidRPr="2030048C">
        <w:rPr>
          <w:rStyle w:val="normaltextrun"/>
          <w:rFonts w:ascii="Arial" w:hAnsi="Arial" w:cs="Arial"/>
          <w:color w:val="000000" w:themeColor="text1"/>
          <w:sz w:val="22"/>
          <w:szCs w:val="22"/>
          <w:shd w:val="clear" w:color="auto" w:fill="FFFFFF"/>
        </w:rPr>
        <w:t xml:space="preserve">Preparatory </w:t>
      </w:r>
      <w:r w:rsidRPr="2030048C">
        <w:rPr>
          <w:rStyle w:val="normaltextrun"/>
          <w:rFonts w:ascii="Arial" w:hAnsi="Arial" w:cs="Arial"/>
          <w:color w:val="000000" w:themeColor="text1"/>
          <w:sz w:val="24"/>
          <w:szCs w:val="24"/>
          <w:shd w:val="clear" w:color="auto" w:fill="FFFFFF"/>
        </w:rPr>
        <w:t>course that prepares them with knowledge, understanding, skills and competence to progress further in pharmacy in higher education.</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develop subject-specific practical skills</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study a other subjects related to pharmacy or pharmaceutical science dependent on their interests and aptitude</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abilities of students to interrelate and apply knowledge, skills and understanding gained from different parts of the course to the solution of problems with confidence,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encourage students to develop their academic potential and employability,</w:t>
      </w:r>
    </w:p>
    <w:p w:rsidRPr="2030048C" w:rsidP="2030048C">
      <w:pPr>
        <w:pStyle w:val="ListParagraph"/>
        <w:numPr>
          <w:ilvl w:val="0"/>
          <w:numId w:val="15"/>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develop a realistic view of their potential and career prospects,</w:t>
      </w:r>
    </w:p>
    <w:p w:rsidRPr="2030048C" w:rsidP="2030048C">
      <w:pPr>
        <w:pStyle w:val="ListParagraph"/>
        <w:numPr>
          <w:ilvl w:val="0"/>
          <w:numId w:val="15"/>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opportunity for students to build on earlier study experience and achievement,</w:t>
      </w:r>
    </w:p>
    <w:p w:rsidRPr="2030048C" w:rsidP="2030048C">
      <w:pPr>
        <w:pStyle w:val="ListParagraph"/>
        <w:numPr>
          <w:ilvl w:val="0"/>
          <w:numId w:val="15"/>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are able to work effectively with others.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of investigational methodology as applied to Science, Computing and Maths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 appropriate skills and technologies for problems solving in Science, Computing and Maths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information technologies, databases and analytical tools as appropriate to their chosen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search, disseminate in appropriate format and acknowledge the source of information using a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career opportunities within the chosen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both independently and with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own learning and plan for and record own personal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and refine revision skills and examination techniques in preparation for work at level 4</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practical work accurately, precisely and in accordance with health and safety procedures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self effectively, agreeing and setting realistic targets, accessing support where appropriate and managing time to achieve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well  with others in a group or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with limited supervision in unfamiliar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flexibly and respond to change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Search for and select relevant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and debate with others and make concession to reach agreement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information and use it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general skills for critical analysis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accept and respond to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Accurately cite and reference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specific knowledge and theory to tackle simulated problems and case studies in many in the many areas of science, computing and maths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sensitivity and respect for diverse values and beliefs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software and IT technology as appropriate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number of given maths related problems contextualised to the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Determine the scope of a task (or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scientific and other knowledge to analyse and evaluate information and data and to find solutions to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resources needed to undertake the task (or project) and to schedule and manage the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with complex ideas and justify judgements made through effective use of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ability to successfully complete and evaluate a task (or project), revising the plan where necessary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LecturesTutorialsIndividual and group problem-based learning exercisesDirected reading</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Practical ClassesWorkshopsBlended learning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Motivate and direct others to enable an effective contribution from all participants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9"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Written examinationsPractical / Workshop reportsPoster presentationsData exercises</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 course testsOnline assessmentPersonal Development PortfolioWritten assignments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A"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ethical and legal requirements in both the access and use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B"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concepts in Science, Computing and Maths required to underpin the study of a chosen degree at Level four.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w:t>
      </w:r>
      <w:r w:rsidRPr="2030048C">
        <w:rPr>
          <w:rFonts w:ascii="Arial" w:eastAsia="Arial" w:hAnsi="Arial" w:cs="Arial"/>
          <w:color w:val="000000" w:themeColor="text1" w:themeShade="FF" w:themeTint="FF"/>
          <w:sz w:val="22"/>
          <w:szCs w:val="22"/>
        </w:rPr>
        <w:t xml:space="preserve">Preparatory </w:t>
      </w:r>
      <w:r w:rsidRPr="2030048C">
        <w:rPr>
          <w:rFonts w:ascii="Arial" w:eastAsia="Arial" w:hAnsi="Arial" w:cs="Arial"/>
          <w:color w:val="000000" w:themeColor="text1" w:themeShade="FF" w:themeTint="FF"/>
          <w:sz w:val="22"/>
          <w:szCs w:val="22"/>
        </w:rPr>
        <w:t>year is made up of four modules each worth 30 credit points. Typically, a student must complete 120 credits at level 3 to progress onto level 4 of their intended degree course. All students will be provided with the University regulations.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For P</w:t>
      </w:r>
      <w:r w:rsidRPr="2030048C">
        <w:rPr>
          <w:rFonts w:ascii="Arial" w:eastAsia="Arial" w:hAnsi="Arial" w:cs="Arial"/>
          <w:color w:val="000000"/>
          <w:sz w:val="22"/>
          <w:szCs w:val="22"/>
          <w:shd w:val="clear" w:color="auto" w:fill="FFFFFF"/>
        </w:rPr>
        <w:t>rogression Criteria: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For those students wishing to progress to level 4 of the MPharmacy programme they must achieve a minimum average of 70% across all four core modules of PY3001, PY3002, PY3003 and PY3004, achieve a minimum of 70% in PY3003 and pass a progression interview.  Progression to other programmes requires passes in these modules at 40%.</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Please note that the t</w:t>
      </w:r>
      <w:r w:rsidRPr="2030048C">
        <w:rPr>
          <w:rFonts w:ascii="Arial" w:eastAsia="Arial" w:hAnsi="Arial" w:cs="Arial"/>
          <w:b/>
          <w:bCs/>
          <w:color w:val="201F1E"/>
          <w:sz w:val="22"/>
          <w:szCs w:val="22"/>
          <w:shd w:val="clear" w:color="auto" w:fill="FFFFFF"/>
        </w:rPr>
        <w:t>ransfer students to MPharmacy MUST have satisfactory enhanced Disclosure and Barring Service (DBS) and health checks.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Preparatory Year in Pharmacy</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Preparatory Year in Pharmacy</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PY3002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PY3003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Mathematics for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PY3004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&amp; Scientific Skills for Pharmacy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PY3001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rsidRPr="2030048C" w:rsidP="2030048C">
      <w:pPr>
        <w:rPr>
          <w:rFonts w:ascii="Arial" w:eastAsia="Arial" w:hAnsi="Arial" w:cs="Arial"/>
          <w:sz w:val="24"/>
          <w:szCs w:val="24"/>
        </w:rPr>
      </w:pPr>
      <w:r w:rsidRPr="2030048C">
        <w:rPr>
          <w:rFonts w:ascii="Arial" w:eastAsia="Arial" w:hAnsi="Arial" w:cs="Arial"/>
          <w:sz w:val="22"/>
          <w:szCs w:val="22"/>
        </w:rPr>
        <w:t xml:space="preserve">As the </w:t>
      </w:r>
      <w:r w:rsidRPr="2030048C">
        <w:rPr>
          <w:rFonts w:ascii="Arial" w:eastAsia="Arial" w:hAnsi="Arial" w:cs="Arial"/>
          <w:sz w:val="22"/>
          <w:szCs w:val="22"/>
        </w:rPr>
        <w:t xml:space="preserve">Preparatory </w:t>
      </w:r>
      <w:r w:rsidRPr="2030048C">
        <w:rPr>
          <w:rFonts w:ascii="Arial" w:eastAsia="Arial" w:hAnsi="Arial" w:cs="Arial"/>
          <w:sz w:val="22"/>
          <w:szCs w:val="22"/>
        </w:rPr>
        <w:t xml:space="preserve">year is seen as a ‘steppingstone’ from Further Education to level 4, the teaching strategies are designed to help develop students as independent learners as the year progresses.   </w:t>
      </w:r>
    </w:p>
    <w:p w:rsidRPr="2030048C" w:rsidP="2030048C">
      <w:pPr>
        <w:rPr>
          <w:rFonts w:ascii="Arial" w:eastAsia="Arial" w:hAnsi="Arial" w:cs="Arial"/>
          <w:sz w:val="24"/>
          <w:szCs w:val="24"/>
        </w:rPr>
      </w:pPr>
      <w:r w:rsidRPr="2030048C">
        <w:rPr>
          <w:rFonts w:ascii="Arial" w:eastAsia="Arial" w:hAnsi="Arial" w:cs="Arial"/>
          <w:sz w:val="22"/>
          <w:szCs w:val="22"/>
        </w:rPr>
        <w:t>Lectures use active learning through the use of question-and-answer sessions, utilising teaching aids such as mini white boards.  Lectures introduce topic areas which are then applied by the use of practicals and workshops.   Additional learning is available through a variety of online resources, which allows formative assessment of understanding and the application of knowledge.  These include the use of podcasts, web-based activities, online testing and accessibility to material via their mobile devices.  Students are directed towards independent study where appropriate, both as enhancement to topics studied or for stand-alone topics.</w:t>
      </w:r>
    </w:p>
    <w:p w:rsidRPr="2030048C" w:rsidP="2030048C">
      <w:pPr>
        <w:rPr>
          <w:rFonts w:ascii="Arial" w:eastAsia="Arial" w:hAnsi="Arial" w:cs="Arial"/>
          <w:sz w:val="24"/>
          <w:szCs w:val="24"/>
        </w:rPr>
      </w:pPr>
      <w:r w:rsidRPr="2030048C">
        <w:rPr>
          <w:rFonts w:ascii="Arial" w:eastAsia="Arial" w:hAnsi="Arial" w:cs="Arial"/>
          <w:sz w:val="22"/>
          <w:szCs w:val="22"/>
        </w:rPr>
        <w:t xml:space="preserve">Students have a number of opportunities to sample level 4 lectures at the University over the </w:t>
      </w:r>
      <w:r w:rsidRPr="2030048C">
        <w:rPr>
          <w:rFonts w:ascii="Arial" w:eastAsia="Arial" w:hAnsi="Arial" w:cs="Arial"/>
          <w:sz w:val="22"/>
          <w:szCs w:val="22"/>
        </w:rPr>
        <w:t xml:space="preserve">Preparatory </w:t>
      </w:r>
      <w:r w:rsidRPr="2030048C">
        <w:rPr>
          <w:rFonts w:ascii="Arial" w:eastAsia="Arial" w:hAnsi="Arial" w:cs="Arial"/>
          <w:sz w:val="22"/>
          <w:szCs w:val="22"/>
        </w:rPr>
        <w:t>year.  This is designed to reinforce the skills development they are undertaking, the differences in learning within the HE environment and, by reflection, to establish what additional learning strategies they may need to succeed in level 4</w:t>
      </w:r>
    </w:p>
    <w:p w:rsidRPr="2030048C" w:rsidP="2030048C">
      <w:pPr>
        <w:rPr>
          <w:rFonts w:ascii="Arial" w:eastAsia="Arial" w:hAnsi="Arial" w:cs="Arial"/>
          <w:sz w:val="24"/>
          <w:szCs w:val="24"/>
        </w:rPr>
      </w:pPr>
      <w:r w:rsidRPr="2030048C">
        <w:rPr>
          <w:rFonts w:ascii="Arial" w:eastAsia="Arial" w:hAnsi="Arial" w:cs="Arial"/>
          <w:sz w:val="22"/>
          <w:szCs w:val="22"/>
        </w:rPr>
        <w:t xml:space="preserve">Practicals / workshops activities are key components of the teaching and learning strategy and allow individual and group work. Initially the focus is to develop the basic skills of accurate data collection, recording and analysis while practicals / workshops towards the end of the module aim to allow students greater opportunities to engage in more investigative activities and finding solutions to problems. </w:t>
      </w:r>
    </w:p>
    <w:p w:rsidRPr="2030048C" w:rsidP="2030048C">
      <w:pPr>
        <w:rPr>
          <w:rFonts w:ascii="Arial" w:eastAsia="Arial" w:hAnsi="Arial" w:cs="Arial"/>
          <w:sz w:val="24"/>
          <w:szCs w:val="24"/>
        </w:rPr>
      </w:pPr>
      <w:r w:rsidRPr="2030048C">
        <w:rPr>
          <w:rFonts w:ascii="Arial" w:eastAsia="Arial" w:hAnsi="Arial" w:cs="Arial"/>
          <w:sz w:val="22"/>
          <w:szCs w:val="22"/>
        </w:rPr>
        <w:t>The development of basic research skills are considered to be important in the transition to learning in the HE environment, in consolidating subject material and also to the success of students on their degree.  The Skills module PY3001 will allow students to understand how research is undertaken and the wider ethical and socioeconomic issues associated with such research. Students are introduced to the methods of inquiry appropriate to their chosen subject, how information can be gathered and its reliability, how to construct simple testable hypothesis and the data manipulation that allow conclusions to be drawn from such data. These will be reinforced within the subject specific modules to help contextualise research and wherever possible lectures will consider not just the subject information but to highlight the methods used to prove current understanding and any controversies that still exist with the interpretation.</w:t>
      </w:r>
    </w:p>
    <w:p w:rsidRPr="2030048C" w:rsidP="2030048C">
      <w:pPr>
        <w:rPr>
          <w:rFonts w:ascii="Arial" w:eastAsia="Arial" w:hAnsi="Arial" w:cs="Arial"/>
          <w:sz w:val="24"/>
          <w:szCs w:val="24"/>
        </w:rPr>
      </w:pPr>
      <w:r w:rsidRPr="2030048C">
        <w:rPr>
          <w:rFonts w:ascii="Arial" w:eastAsia="Arial" w:hAnsi="Arial" w:cs="Arial"/>
          <w:sz w:val="22"/>
          <w:szCs w:val="22"/>
        </w:rPr>
        <w:t>The capstone project element allows students to bring all these skills together to research a topic specific to the degree they intend to study. Students will be asked to keep a log of how they have researched the topic, the information they have retrieved and how they have analysed this to generate their final poster presentation.</w:t>
      </w:r>
    </w:p>
    <w:p w:rsidRPr="2030048C" w:rsidP="2030048C">
      <w:pPr>
        <w:rPr>
          <w:rFonts w:ascii="Arial" w:eastAsia="Arial" w:hAnsi="Arial" w:cs="Arial"/>
          <w:sz w:val="24"/>
          <w:szCs w:val="24"/>
        </w:rPr>
      </w:pPr>
      <w:r w:rsidRPr="2030048C">
        <w:rPr>
          <w:rFonts w:ascii="Arial" w:eastAsia="Arial" w:hAnsi="Arial" w:cs="Arial"/>
          <w:sz w:val="22"/>
          <w:szCs w:val="22"/>
        </w:rPr>
        <w:t xml:space="preserve">Additionally, lecturing staff from the University are routinely invited to talk to the </w:t>
      </w:r>
      <w:r w:rsidRPr="2030048C">
        <w:rPr>
          <w:rFonts w:ascii="Arial" w:eastAsia="Arial" w:hAnsi="Arial" w:cs="Arial"/>
          <w:sz w:val="22"/>
          <w:szCs w:val="22"/>
        </w:rPr>
        <w:t xml:space="preserve">Preparatory </w:t>
      </w:r>
      <w:r w:rsidRPr="2030048C">
        <w:rPr>
          <w:rFonts w:ascii="Arial" w:eastAsia="Arial" w:hAnsi="Arial" w:cs="Arial"/>
          <w:sz w:val="22"/>
          <w:szCs w:val="22"/>
        </w:rPr>
        <w:t>students. This allows students to see the sort of research that University staff are involved in and how this has shaped the curricula they will encounter in future years.</w:t>
      </w:r>
    </w:p>
    <w:p w:rsidRPr="2030048C" w:rsidP="2030048C">
      <w:pPr>
        <w:rPr>
          <w:rFonts w:ascii="Arial" w:eastAsia="Arial" w:hAnsi="Arial" w:cs="Arial"/>
          <w:sz w:val="24"/>
          <w:szCs w:val="24"/>
        </w:rPr>
      </w:pPr>
      <w:r w:rsidRPr="2030048C">
        <w:rPr>
          <w:rFonts w:ascii="Arial" w:eastAsia="Arial" w:hAnsi="Arial" w:cs="Arial"/>
          <w:sz w:val="22"/>
          <w:szCs w:val="22"/>
        </w:rPr>
        <w:t xml:space="preserve">Assessment comprises a mixture of both formative and summative approaches. These are designed to mirror the type of assessment students will encounter in level 4 and beyond. Formative assessment and feedback are designed to practice particular skills and to allow students to maximise the impact of the feedback towards tackling summative assessments.  </w:t>
      </w:r>
    </w:p>
    <w:p w:rsidRPr="2030048C" w:rsidP="2030048C">
      <w:pPr>
        <w:rPr>
          <w:rFonts w:ascii="Arial" w:eastAsia="Arial" w:hAnsi="Arial" w:cs="Arial"/>
          <w:sz w:val="24"/>
          <w:szCs w:val="24"/>
        </w:rPr>
      </w:pPr>
      <w:r w:rsidRPr="2030048C">
        <w:rPr>
          <w:rFonts w:ascii="Arial" w:eastAsia="Arial" w:hAnsi="Arial" w:cs="Arial"/>
          <w:sz w:val="22"/>
          <w:szCs w:val="22"/>
        </w:rPr>
        <w:t>It is recognised that formal examinations may have been the cause of poor performance amongst some students in their previous academic life. Examinations at the end of the year-long module modules can place additional strain on such individuals and thus where such examination takes place formative test-like exercises will be used. This feature is closely allied to the examination skills component of the skills module and can provide feedback not just on the understanding of material but also on strategies for dealing with examinations.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at level 3 on Foundation programmes often require additional support reflecting the nature of previous educational background upon entry.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Students are supported by a range of academic staff which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A Course Leader to help students understand the programme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A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Tutors to provide academic and personal support throughout their course.</w:t>
      </w:r>
    </w:p>
    <w:p w:rsidRPr="2030048C" w:rsidP="2030048C">
      <w:pPr>
        <w:rPr>
          <w:rFonts w:ascii="Arial" w:eastAsia="Arial" w:hAnsi="Arial" w:cs="Arial"/>
          <w:sz w:val="24"/>
          <w:szCs w:val="24"/>
        </w:rPr>
      </w:pPr>
      <w:r w:rsidRPr="2030048C">
        <w:rPr>
          <w:rFonts w:ascii="Arial" w:eastAsia="Arial" w:hAnsi="Arial" w:cs="Arial"/>
          <w:color w:val="000000"/>
          <w:sz w:val="22"/>
          <w:szCs w:val="22"/>
        </w:rPr>
        <w:t> In addition, students are supported by a range of specialist staff including: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Technical support to advise students on laboratory practice,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Canvas – a versatile on-line interactive intranet and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Library with dedicated staff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A designated programme administrator both at the University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A substantial Study Skills Centre at the University that provides Academic Skills support and Mathematics Aid.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For issues outside of the academic arena support is also available from:-</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SEC Student Support Officers and university support facilities, which provide advice on issues such as finance, regulations, legal matters, accommodation, international student support, etc.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Dyslexia and Disability student support at the University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The Union of Kingston Students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University Careers and Employability Service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students receive guidance and can input to the development of their course by:-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induction week at the beginning of the academic session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CANVAS – an on-line interactive intranet and learning environment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Student Staff Consultative Committee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Opportunities to undertake student representative and Ambassador roles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Academic Success Centre that provides academic skills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introduced to many of the support systems during induction week. During this week students undertake orientation exercises designed to help them familiarise their way around the university campus.  The support mechanisms available to students at the University are reinforced during the early weeks of teaching block 1 by visits to the University to undertake such activities as the Library induction and other support staff.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Students are assigned to an academic member of staff as their personal tutor. The role of the personal tutor scheme is to establish a rapport between students and staff and to help personalise the student educational experience.  The personal tutor scheme is embedded within the Skills modules, where considerable support is provided towards successful study.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At the beginning of the year personal tutors will meet with students to undertake a skills audit and to highlight the support provision, at the University in developing a range of skills. Students are asked to develop a time and learning planner in the first few weeks, and they reflect on its impact in conjunction with their personal tutor in subsequent meetings.  Further meetings allow monitoring of progress, the signposting of skills development, how to utilise feedback and to build confidence in the transition toward study in Higher Education. To maximise the understanding and utilisation of feedback, a number of exercises will be undertaken within the Skills modules, aimed at improving engagement with feedback and in helping to develop independent learning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Teaching Evaluation</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767"/>
        <w:gridCol w:w="3497"/>
        <w:gridCol w:w="914"/>
        <w:gridCol w:w="914"/>
        <w:gridCol w:w="914"/>
        <w:gridCol w:w="9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PY3001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LecturesTutorialsIndividual and group problem-based learning exercisesDirected reading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Written examinationsPractical / Workshop reportsPoster presentationsData exercises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278D910-AA78-48D8-8D12-620E09C6E19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