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Healthcare Practice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21/08/2025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01/04/2026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Adult Nursing and Allied Health</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&amp; King's Academy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MSc Healthcare Practice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Healthcare Practice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Healthcare Practice</w:t>
            </w:r>
            <w:r>
              <w:br/>
            </w:r>
            <w:r w:rsidRPr="2030048C" w:rsidR="71C545CA">
              <w:rPr>
                <w:rFonts w:ascii="Arial" w:eastAsia="Arial" w:hAnsi="Arial" w:cs="Arial"/>
                <w:b w:val="0"/>
                <w:bCs w:val="0"/>
                <w:sz w:val="24"/>
                <w:szCs w:val="24"/>
                <w:lang w:val="en-GB"/>
              </w:rPr>
              <w:t>MSc Healthcare Practice (Clinical Leadership)</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PPHCP1HCP20</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PgCert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Intensive Care</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w:t>
            </w:r>
            <w:r>
              <w:br/>
            </w:r>
            <w:r w:rsidRPr="2030048C" w:rsidR="71C545CA">
              <w:rPr>
                <w:rFonts w:ascii="Arial" w:eastAsia="Arial" w:hAnsi="Arial" w:cs="Arial"/>
                <w:b w:val="0"/>
                <w:bCs w:val="0"/>
                <w:sz w:val="24"/>
                <w:szCs w:val="24"/>
                <w:lang w:val="en-GB"/>
              </w:rPr>
              <w:t>-</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PPINC1INC50</w:t>
            </w: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PgCert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Cardiac Care</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w:t>
            </w:r>
            <w:r>
              <w:br/>
            </w:r>
            <w:r w:rsidRPr="2030048C" w:rsidR="71C545CA">
              <w:rPr>
                <w:rFonts w:ascii="Arial" w:eastAsia="Arial" w:hAnsi="Arial" w:cs="Arial"/>
                <w:b w:val="0"/>
                <w:bCs w:val="0"/>
                <w:sz w:val="24"/>
                <w:szCs w:val="24"/>
                <w:lang w:val="en-GB"/>
              </w:rPr>
              <w:t>-</w:t>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PPCDC1CDC50</w:t>
            </w: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PgCert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Independent/Supplementary Prescribing for Nurses and Midwives</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w:t>
            </w:r>
            <w:r>
              <w:br/>
            </w:r>
            <w:r w:rsidRPr="2030048C" w:rsidR="71C545CA">
              <w:rPr>
                <w:rFonts w:ascii="Arial" w:eastAsia="Arial" w:hAnsi="Arial" w:cs="Arial"/>
                <w:b w:val="0"/>
                <w:bCs w:val="0"/>
                <w:sz w:val="24"/>
                <w:szCs w:val="24"/>
                <w:lang w:val="en-GB"/>
              </w:rPr>
              <w:t>-</w:t>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PPISP1ISP50</w:t>
            </w: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Modules on MSc Healthcare Practice delivered by King's Academy</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PPHCP1HCP20</w:t>
            </w:r>
          </w:p>
          <w:p w:rsidR="72431AC7" w:rsidP="2030048C" w14:textId="7FB53094">
            <w:pPr>
              <w:rPr>
                <w:rFonts w:ascii="Arial" w:eastAsia="Arial" w:hAnsi="Arial" w:cs="Arial"/>
                <w:b w:val="0"/>
                <w:bCs w:val="0"/>
                <w:sz w:val="24"/>
                <w:szCs w:val="24"/>
                <w:lang w:val="en-GB"/>
              </w:rPr>
            </w:pP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 (Clinical Leadership)</w:t>
            </w:r>
          </w:p>
          <w:p w:rsidR="72431AC7" w:rsidP="540725A5" w14:textId="77777777">
            <w:pPr>
              <w:rPr>
                <w:rFonts w:ascii="Arial" w:eastAsia="Arial" w:hAnsi="Arial" w:cs="Arial"/>
                <w:b w:val="0"/>
                <w:bCs w:val="0"/>
                <w:sz w:val="24"/>
                <w:szCs w:val="24"/>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Healthcare Practice (Clinical Leadership)</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 Healthcare Practice (Clinical Leadership)</w:t>
            </w:r>
          </w:p>
          <w:p w:rsidR="72431AC7" w:rsidP="2030048C" w14:textId="7E0F963D">
            <w:pPr>
              <w:rPr>
                <w:rFonts w:ascii="Arial" w:eastAsia="Arial" w:hAnsi="Arial" w:cs="Arial"/>
                <w:b w:val="0"/>
                <w:bCs w:val="0"/>
                <w:sz w:val="24"/>
                <w:szCs w:val="24"/>
                <w:lang w:val="en-GB"/>
              </w:rPr>
            </w:pP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PPHCP1CLP20</w:t>
            </w:r>
          </w:p>
          <w:p w:rsidR="72431AC7" w:rsidP="2030048C" w14:textId="7FB53094">
            <w:pPr>
              <w:rPr>
                <w:rFonts w:ascii="Arial" w:eastAsia="Arial" w:hAnsi="Arial" w:cs="Arial"/>
                <w:b w:val="0"/>
                <w:bCs w:val="0"/>
                <w:sz w:val="24"/>
                <w:szCs w:val="24"/>
                <w:lang w:val="en-GB"/>
              </w:rPr>
            </w:pP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0"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PGCert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Neonatal Critical Care</w:t>
            </w:r>
          </w:p>
          <w:p w:rsidR="72431AC7" w:rsidP="540725A5" w14:textId="77777777">
            <w:pPr>
              <w:rPr>
                <w:rFonts w:ascii="Arial" w:eastAsia="Arial" w:hAnsi="Arial" w:cs="Arial"/>
                <w:b w:val="0"/>
                <w:bCs w:val="0"/>
                <w:sz w:val="24"/>
                <w:szCs w:val="24"/>
              </w:rPr>
            </w:pPr>
          </w:p>
        </w:tc>
      </w:tr>
      <w:tr w14:paraId="34BB97A1"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w:t>
            </w:r>
          </w:p>
          <w:p w:rsidR="72431AC7" w:rsidP="2030048C" w14:textId="7E0F963D">
            <w:pPr>
              <w:rPr>
                <w:rFonts w:ascii="Arial" w:eastAsia="Arial" w:hAnsi="Arial" w:cs="Arial"/>
                <w:b w:val="0"/>
                <w:bCs w:val="0"/>
                <w:sz w:val="24"/>
                <w:szCs w:val="24"/>
                <w:lang w:val="en-GB"/>
              </w:rPr>
            </w:pPr>
            <w:r>
              <w:br/>
            </w:r>
          </w:p>
        </w:tc>
      </w:tr>
      <w:tr w14:paraId="2A120398"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PPNCC1NCC50</w:t>
            </w:r>
          </w:p>
          <w:p w:rsidR="72431AC7" w:rsidP="2030048C" w14:textId="7FB53094">
            <w:pPr>
              <w:rPr>
                <w:rFonts w:ascii="Arial" w:eastAsia="Arial" w:hAnsi="Arial" w:cs="Arial"/>
                <w:b w:val="0"/>
                <w:bCs w:val="0"/>
                <w:sz w:val="24"/>
                <w:szCs w:val="24"/>
                <w:lang w:val="en-GB"/>
              </w:rPr>
            </w:pPr>
          </w:p>
        </w:tc>
      </w:tr>
      <w:tr w14:paraId="78C565EE"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&amp; King's Academy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 &amp; King’s Academy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N/A</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i/>
                <w:iCs/>
                <w:color w:val="000000" w:themeColor="text1" w:themeShade="FF" w:themeTint="FF"/>
                <w:sz w:val="22"/>
                <w:szCs w:val="22"/>
              </w:rPr>
              <w:t>15 credit Modules</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PGDip Healthcare Practice: up to 8 x 15 credit modules</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MSc Healthcare Practice: up to 10 x 15 credit modules.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1. </w:t>
      </w:r>
      <w:r w:rsidRPr="2030048C">
        <w:rPr>
          <w:rStyle w:val="normaltextrun"/>
          <w:rFonts w:ascii="Arial" w:hAnsi="Arial" w:cs="Arial"/>
          <w:color w:val="000000" w:themeColor="text1"/>
          <w:sz w:val="22"/>
          <w:szCs w:val="22"/>
          <w:shd w:val="clear" w:color="auto" w:fill="FFFFFF"/>
        </w:rPr>
        <w:t>Provide flexible, contemporary Master’s level education aligned to the changing context of healthcare provision and which meets the life-long personal and professional development needs of registered healthcare practitioners across the career span.</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2. Develop practitioners who can critically evaluate contemporary healthcare research and advanced scholarship, and who can demonstrate originality in problem solving and when managing unpredictable and complex issues.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3. Develop practitioners who can actively participate in the advancement of contemporary healthcare knowledge, service development and clinical practice through research, creativity and innovation.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The overall aims of the PGDip are to</w:t>
      </w:r>
      <w:r w:rsidRPr="2030048C">
        <w:rPr>
          <w:rStyle w:val="normaltextrun"/>
          <w:rFonts w:ascii="Arial" w:hAnsi="Arial" w:cs="Arial"/>
          <w:color w:val="000000" w:themeColor="text1"/>
          <w:sz w:val="22"/>
          <w:szCs w:val="22"/>
          <w:shd w:val="clear" w:color="auto" w:fill="FFFFFF"/>
        </w:rPr>
        <w: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1. Provide flexible, contemporary Master’s level education aligned to the changing context of healthcare provision and which meets the life-long personal and professional development needs of registered healthcare practitioners across the career span.</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2. Develop practitioners who can critically evaluate contemporary healthcare research and advanced scholarship, and who can demonstrate originality in problem solving and when managing unpredictable and complex issues.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The overall aims of the PGCert are to</w:t>
      </w:r>
      <w:r w:rsidRPr="2030048C">
        <w:rPr>
          <w:rStyle w:val="normaltextrun"/>
          <w:rFonts w:ascii="Arial" w:hAnsi="Arial" w:cs="Arial"/>
          <w:color w:val="000000" w:themeColor="text1"/>
          <w:sz w:val="22"/>
          <w:szCs w:val="22"/>
          <w:shd w:val="clear" w:color="auto" w:fill="FFFFFF"/>
        </w:rPr>
        <w: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1. Provide flexible, contemporary Master’s level education in a focused area of healthcare which is aligned to the changing context of healthcare provision and which meets the life-long personal and professional development needs of registered healthcare practitioners across the career span.</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2. Develop practitioners who can demonstrate originality when applying detailed knowledge to specific healthcare contexts.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mastery of knowledge and detailed, in-depth understanding to an area of healthcare provision, including the wider socio-political, financial, cultural and international influences.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apply reflexivity and advanced reasoning skills to complex novel healthcare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Incorporate a critical and ethical/professional dimension into complex decision-making.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deep and systematic understanding of the wider ethical, legal and professional perspectives to an area of healthcare.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and integrate diverse and contradictory contemporary sources, evidence and concepts.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Self-direct their own personal and professional development, based on the application of critical enquiry, reflective practice and appraisal of evidence.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Apply detailed and systematic understanding of research methods to professional practice.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PGDip/MSc only</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Act as a professional role model, working effectively and collaboratively across multiple teams, to lead and develop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Complete a capstone project which demonstrates systematic inquiry, synthesis of evidence, project management skills and originality of thinking.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Full MSc only</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Reconcile uncertainty, constraints and dilemmas within the unpredictable and changing context of professional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Contribute to development and transformation of services, new roles and ways of working to meet changing workforce needs.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specialist or advanced professional practice skills to a defined area of healthcare provision.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5731510" cy="2905867"/>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5731510" cy="2905867"/>
                    </a:xfrm>
                    <a:prstGeom prst="rect">
                      <a:avLst/>
                    </a:prstGeom>
                  </pic:spPr>
                </pic:pic>
              </a:graphicData>
            </a:graphic>
          </wp:inline>
        </w:drawing>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Full details of each module will be provided in module descriptors and student module guides.  For information on option module selection and coherence of students’ study plans please see section D.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2"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as soon as these circumstances arise by email.</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12 Lead ECG Interpretation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Acutely Unwell Adult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Adult Critical Care Polytrauma: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Assessment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Clinical Reasoning in Health Assessment: Lifespan Perspectives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NW7032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Practice: Minor Ailment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Practice: Minor Injury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Anaesthetic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Cardiac Arrhythmias: Interpretation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9"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Cardiac Care: Patient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A"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Emergency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 xml:space="preserve"> NW7015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Examination of the Newborn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Foundations in Neonatal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Programme Entry Requirements which specifically includes the following: • be NMC registered nurses or midwives, or HCPC registered professionals. • be employed in a neonatal setting for the duration of the programme. Most learners should commence a pathway to QIS completion shortly after their employment within a neonatal setting.</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General Practice Nursing: Fundamentals of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 xml:space="preserve"> NW7017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High Dependency Issues in Maternity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NW7018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Improvement and Implementation Science: Principles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Independent/Supplementary Prescribing for Nurses and Midwives (V300)</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NW7033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Leadership in Advanced Clinical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Mentoring and Coaching in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SW7044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Perinatal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Post Anaesthetic Care: Principles and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Midwifery Advocate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Nursing Advocate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NW7036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Renal Dialysis: Principles of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Renal Dysfunction: Complexities of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9"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Respiratory Care for the Acute Setting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A"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Specialist Neonatal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Programme Entry Requirements which specifically includes: • be NMC registered nurses or midwives, or HCPC registered professionals. • be employed in a neonatal setting for the duration of the programme.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Theatre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Trauma Care: Initial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Work Based Learning – 15C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NW7029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Work Based Learning – 30C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B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Work Based Learning – 60C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NW7034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Work-based Learning – Employer Commissioned (Bespoke)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NW7715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Work-based Learning – Employer Commissioned (Bespoke)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NW7730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Working With Families, Carers and Significant Others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exiting the programme with 60 level 7* credits are eligible for the award of PgCert in Healthcare Practice. </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t>
      </w:r>
      <w:r w:rsidRPr="2030048C">
        <w:rPr>
          <w:rStyle w:val="normaltextrun"/>
          <w:rFonts w:ascii="Arial" w:eastAsia="Arial" w:hAnsi="Arial" w:cs="Arial"/>
          <w:color w:val="000000" w:themeColor="text1" w:themeShade="FF" w:themeTint="FF"/>
          <w:sz w:val="16"/>
          <w:szCs w:val="16"/>
        </w:rPr>
        <w:t>May include 15 credits level 6 via RPL if overall programme learning outcomes are met.</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exiting the programme with 60 level 7 credits acquired from the two modules </w:t>
      </w:r>
      <w:r w:rsidRPr="2030048C">
        <w:rPr>
          <w:rStyle w:val="normaltextrun"/>
          <w:rFonts w:ascii="Arial" w:eastAsia="Arial" w:hAnsi="Arial" w:cs="Arial"/>
          <w:i/>
          <w:iCs/>
          <w:color w:val="000000" w:themeColor="text1" w:themeShade="FF" w:themeTint="FF"/>
          <w:sz w:val="22"/>
          <w:szCs w:val="22"/>
        </w:rPr>
        <w:t>Adult</w:t>
      </w:r>
      <w:r w:rsidRPr="2030048C">
        <w:rPr>
          <w:rStyle w:val="normaltextrun"/>
          <w:rFonts w:ascii="Arial" w:eastAsia="Arial" w:hAnsi="Arial" w:cs="Arial"/>
          <w:color w:val="000000" w:themeColor="text1" w:themeShade="FF" w:themeTint="FF"/>
          <w:sz w:val="22"/>
          <w:szCs w:val="22"/>
        </w:rPr>
        <w:t xml:space="preserve"> </w:t>
      </w:r>
      <w:r w:rsidRPr="2030048C">
        <w:rPr>
          <w:rStyle w:val="normaltextrun"/>
          <w:rFonts w:ascii="Arial" w:eastAsia="Arial" w:hAnsi="Arial" w:cs="Arial"/>
          <w:i/>
          <w:iCs/>
          <w:color w:val="000000" w:themeColor="text1" w:themeShade="FF" w:themeTint="FF"/>
          <w:sz w:val="22"/>
          <w:szCs w:val="22"/>
        </w:rPr>
        <w:t>Intensive Care: Patient Assessment</w:t>
      </w:r>
      <w:r w:rsidRPr="2030048C">
        <w:rPr>
          <w:rStyle w:val="normaltextrun"/>
          <w:rFonts w:ascii="Arial" w:eastAsia="Arial" w:hAnsi="Arial" w:cs="Arial"/>
          <w:color w:val="000000" w:themeColor="text1" w:themeShade="FF" w:themeTint="FF"/>
          <w:sz w:val="22"/>
          <w:szCs w:val="22"/>
        </w:rPr>
        <w:t xml:space="preserve"> (30 credits) and </w:t>
      </w:r>
      <w:r w:rsidRPr="2030048C">
        <w:rPr>
          <w:rStyle w:val="normaltextrun"/>
          <w:rFonts w:ascii="Arial" w:eastAsia="Arial" w:hAnsi="Arial" w:cs="Arial"/>
          <w:i/>
          <w:iCs/>
          <w:color w:val="000000" w:themeColor="text1" w:themeShade="FF" w:themeTint="FF"/>
          <w:sz w:val="22"/>
          <w:szCs w:val="22"/>
        </w:rPr>
        <w:t>Adult Intensive Care: Patient Management</w:t>
      </w:r>
      <w:r w:rsidRPr="2030048C">
        <w:rPr>
          <w:rStyle w:val="normaltextrun"/>
          <w:rFonts w:ascii="Arial" w:eastAsia="Arial" w:hAnsi="Arial" w:cs="Arial"/>
          <w:color w:val="000000" w:themeColor="text1" w:themeShade="FF" w:themeTint="FF"/>
          <w:sz w:val="22"/>
          <w:szCs w:val="22"/>
        </w:rPr>
        <w:t xml:space="preserve"> (30 credits) are eligible for the award of PgCert in Intensive Care.</w:t>
      </w:r>
      <w:r w:rsidRPr="2030048C">
        <w:rPr>
          <w:rStyle w:val="normaltextrun"/>
          <w:rFonts w:ascii="Arial" w:eastAsia="Arial" w:hAnsi="Arial" w:cs="Arial"/>
          <w:i/>
          <w:iCs/>
          <w:color w:val="000000" w:themeColor="text1" w:themeShade="FF" w:themeTint="FF"/>
          <w:sz w:val="22"/>
          <w:szCs w:val="22"/>
        </w:rPr>
        <w:t xml:space="preserve"> </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exiting the programme with 60 level 7 credits acquired from the three modules </w:t>
      </w:r>
      <w:r w:rsidRPr="2030048C">
        <w:rPr>
          <w:rStyle w:val="normaltextrun"/>
          <w:rFonts w:ascii="Arial" w:eastAsia="Arial" w:hAnsi="Arial" w:cs="Arial"/>
          <w:i/>
          <w:iCs/>
          <w:color w:val="000000"/>
          <w:sz w:val="22"/>
          <w:szCs w:val="22"/>
          <w:shd w:val="clear" w:color="auto" w:fill="FFFFFF"/>
        </w:rPr>
        <w:t>12 Lead ECG Interpretation</w:t>
      </w:r>
      <w:r w:rsidRPr="2030048C">
        <w:rPr>
          <w:rStyle w:val="normaltextrun"/>
          <w:rFonts w:ascii="Arial" w:eastAsia="Arial" w:hAnsi="Arial" w:cs="Arial"/>
          <w:color w:val="000000" w:themeColor="text1" w:themeShade="FF" w:themeTint="FF"/>
          <w:sz w:val="22"/>
          <w:szCs w:val="22"/>
        </w:rPr>
        <w:t xml:space="preserve"> (15 credits), </w:t>
      </w:r>
      <w:r w:rsidRPr="2030048C">
        <w:rPr>
          <w:rStyle w:val="normaltextrun"/>
          <w:rFonts w:ascii="Arial" w:eastAsia="Arial" w:hAnsi="Arial" w:cs="Arial"/>
          <w:i/>
          <w:iCs/>
          <w:color w:val="000000" w:themeColor="text1" w:themeShade="FF" w:themeTint="FF"/>
          <w:sz w:val="22"/>
          <w:szCs w:val="22"/>
        </w:rPr>
        <w:t>Cardiac Arrhythmias: Interpretation and management</w:t>
      </w:r>
      <w:r w:rsidRPr="2030048C">
        <w:rPr>
          <w:rStyle w:val="normaltextrun"/>
          <w:rFonts w:ascii="Arial" w:eastAsia="Arial" w:hAnsi="Arial" w:cs="Arial"/>
          <w:color w:val="000000" w:themeColor="text1" w:themeShade="FF" w:themeTint="FF"/>
          <w:sz w:val="22"/>
          <w:szCs w:val="22"/>
        </w:rPr>
        <w:t xml:space="preserve"> (15 credits) and </w:t>
      </w:r>
      <w:r w:rsidRPr="2030048C">
        <w:rPr>
          <w:rStyle w:val="normaltextrun"/>
          <w:rFonts w:ascii="Arial" w:eastAsia="Arial" w:hAnsi="Arial" w:cs="Arial"/>
          <w:i/>
          <w:iCs/>
          <w:color w:val="000000" w:themeColor="text1" w:themeShade="FF" w:themeTint="FF"/>
          <w:sz w:val="22"/>
          <w:szCs w:val="22"/>
        </w:rPr>
        <w:t>Cardiac Care: Patient Assessment and Management</w:t>
      </w:r>
      <w:r w:rsidRPr="2030048C">
        <w:rPr>
          <w:rStyle w:val="normaltextrun"/>
          <w:rFonts w:ascii="Arial" w:eastAsia="Arial" w:hAnsi="Arial" w:cs="Arial"/>
          <w:color w:val="000000" w:themeColor="text1" w:themeShade="FF" w:themeTint="FF"/>
          <w:sz w:val="22"/>
          <w:szCs w:val="22"/>
        </w:rPr>
        <w:t xml:space="preserve"> (30 credits) are eligible for the award of PgCert in Cardiac Care.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with 120 level 7 credits* are eligible for the award of PgDip in in Healthcare Practice. The 120 credits must include the core module</w:t>
      </w:r>
      <w:r w:rsidRPr="2030048C">
        <w:rPr>
          <w:rStyle w:val="normaltextrun"/>
          <w:rFonts w:ascii="Arial" w:eastAsia="Arial" w:hAnsi="Arial" w:cs="Arial"/>
          <w:i/>
          <w:iCs/>
          <w:color w:val="000000" w:themeColor="text1" w:themeShade="FF" w:themeTint="FF"/>
          <w:sz w:val="22"/>
          <w:szCs w:val="22"/>
        </w:rPr>
        <w:t xml:space="preserve"> Applied Research Methods </w:t>
      </w:r>
      <w:r w:rsidRPr="2030048C">
        <w:rPr>
          <w:rStyle w:val="normaltextrun"/>
          <w:rFonts w:ascii="Arial" w:eastAsia="Arial" w:hAnsi="Arial" w:cs="Arial"/>
          <w:color w:val="000000" w:themeColor="text1" w:themeShade="FF" w:themeTint="FF"/>
          <w:sz w:val="22"/>
          <w:szCs w:val="22"/>
        </w:rPr>
        <w:t>(15 credits).</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with 180 level 7 credits* are eligible for the award of MSc in in Healthcare Practice. The 180 credits must include the core module</w:t>
      </w:r>
      <w:r w:rsidRPr="2030048C">
        <w:rPr>
          <w:rStyle w:val="normaltextrun"/>
          <w:rFonts w:ascii="Arial" w:eastAsia="Arial" w:hAnsi="Arial" w:cs="Arial"/>
          <w:i/>
          <w:iCs/>
          <w:color w:val="000000" w:themeColor="text1" w:themeShade="FF" w:themeTint="FF"/>
          <w:sz w:val="22"/>
          <w:szCs w:val="22"/>
        </w:rPr>
        <w:t xml:space="preserve"> Applied Research Methods </w:t>
      </w:r>
      <w:r w:rsidRPr="2030048C">
        <w:rPr>
          <w:rStyle w:val="normaltextrun"/>
          <w:rFonts w:ascii="Arial" w:eastAsia="Arial" w:hAnsi="Arial" w:cs="Arial"/>
          <w:color w:val="000000" w:themeColor="text1" w:themeShade="FF" w:themeTint="FF"/>
          <w:sz w:val="22"/>
          <w:szCs w:val="22"/>
        </w:rPr>
        <w:t xml:space="preserve">(15 credits) and the </w:t>
      </w:r>
      <w:r w:rsidRPr="2030048C">
        <w:rPr>
          <w:rStyle w:val="normaltextrun"/>
          <w:rFonts w:ascii="Arial" w:eastAsia="Arial" w:hAnsi="Arial" w:cs="Arial"/>
          <w:i/>
          <w:iCs/>
          <w:color w:val="000000" w:themeColor="text1" w:themeShade="FF" w:themeTint="FF"/>
          <w:sz w:val="22"/>
          <w:szCs w:val="22"/>
        </w:rPr>
        <w:t>Capstone Project</w:t>
      </w:r>
      <w:r w:rsidRPr="2030048C">
        <w:rPr>
          <w:rStyle w:val="normaltextrun"/>
          <w:rFonts w:ascii="Arial" w:eastAsia="Arial" w:hAnsi="Arial" w:cs="Arial"/>
          <w:color w:val="000000" w:themeColor="text1" w:themeShade="FF" w:themeTint="FF"/>
          <w:sz w:val="22"/>
          <w:szCs w:val="22"/>
        </w:rPr>
        <w:t xml:space="preserve"> (30 credits).</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t>
      </w:r>
      <w:r w:rsidRPr="2030048C">
        <w:rPr>
          <w:rStyle w:val="normaltextrun"/>
          <w:rFonts w:ascii="Arial" w:eastAsia="Arial" w:hAnsi="Arial" w:cs="Arial"/>
          <w:color w:val="000000" w:themeColor="text1" w:themeShade="FF" w:themeTint="FF"/>
          <w:sz w:val="16"/>
          <w:szCs w:val="16"/>
        </w:rPr>
        <w:t>May include 30 credits level 6 via RPL if overall programme learning outcomes are met.</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PgCert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Intensive Care</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PgCert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Intensive Care</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Assessment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acquired from the two core </w:t>
      </w:r>
      <w:r w:rsidRPr="2030048C">
        <w:rPr>
          <w:rStyle w:val="normaltextrun"/>
          <w:rFonts w:ascii="Arial" w:eastAsia="Arial" w:hAnsi="Arial" w:cs="Arial"/>
          <w:color w:val="000000" w:themeColor="text1" w:themeShade="FF" w:themeTint="FF"/>
          <w:sz w:val="24"/>
          <w:szCs w:val="24"/>
        </w:rPr>
        <w:t>modules: Adult Critical care: patient assessment (30credits) and Adult Critical Care : </w:t>
      </w:r>
      <w:r w:rsidRPr="2030048C">
        <w:rPr>
          <w:rStyle w:val="normaltextrun"/>
          <w:rFonts w:ascii="Arial" w:eastAsia="Arial" w:hAnsi="Arial" w:cs="Arial"/>
          <w:color w:val="000000" w:themeColor="text1" w:themeShade="FF" w:themeTint="FF"/>
          <w:sz w:val="24"/>
          <w:szCs w:val="24"/>
        </w:rPr>
        <w:t xml:space="preserve">patient management (30credits) are eligible for the award of </w:t>
      </w:r>
      <w:r w:rsidRPr="2030048C">
        <w:rPr>
          <w:rStyle w:val="normaltextrun"/>
          <w:rFonts w:ascii="Arial" w:eastAsia="Arial" w:hAnsi="Arial" w:cs="Arial"/>
          <w:b/>
          <w:bCs/>
          <w:color w:val="000000" w:themeColor="text1" w:themeShade="FF" w:themeTint="FF"/>
          <w:sz w:val="24"/>
          <w:szCs w:val="24"/>
        </w:rPr>
        <w:t>PgCert Intensive Care.</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PgCert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Cardiac Care</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1"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D"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PgCert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Cardiac Care</w:t>
            </w:r>
          </w:p>
        </w:tc>
      </w:tr>
      <w:tr w14:paraId="17F545E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12 Lead ECG Interpretation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Cardiac Arrhythmias: Interpretation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Cardiac Care: Patient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acquired from the three core </w:t>
      </w:r>
      <w:r w:rsidRPr="2030048C">
        <w:rPr>
          <w:rStyle w:val="normaltextrun"/>
          <w:rFonts w:ascii="Arial" w:eastAsia="Arial" w:hAnsi="Arial" w:cs="Arial"/>
          <w:color w:val="000000" w:themeColor="text1" w:themeShade="FF" w:themeTint="FF"/>
          <w:sz w:val="24"/>
          <w:szCs w:val="24"/>
        </w:rPr>
        <w:t>modules: 12 Lead ECG Interpretation (15 credits), Cardiac Arrhythmias: Interpretation </w:t>
      </w:r>
      <w:r w:rsidRPr="2030048C">
        <w:rPr>
          <w:rStyle w:val="normaltextrun"/>
          <w:rFonts w:ascii="Arial" w:eastAsia="Arial" w:hAnsi="Arial" w:cs="Arial"/>
          <w:color w:val="000000" w:themeColor="text1" w:themeShade="FF" w:themeTint="FF"/>
          <w:sz w:val="24"/>
          <w:szCs w:val="24"/>
        </w:rPr>
        <w:t>and management (15 credits) and Cardiac Care : Patient Assessment and management </w:t>
      </w:r>
      <w:r w:rsidRPr="2030048C">
        <w:rPr>
          <w:rStyle w:val="normaltextrun"/>
          <w:rFonts w:ascii="Arial" w:eastAsia="Arial" w:hAnsi="Arial" w:cs="Arial"/>
          <w:color w:val="000000" w:themeColor="text1" w:themeShade="FF" w:themeTint="FF"/>
          <w:sz w:val="24"/>
          <w:szCs w:val="24"/>
        </w:rPr>
        <w:t xml:space="preserve">(30credits) are eligible for the award of </w:t>
      </w:r>
      <w:r w:rsidRPr="2030048C">
        <w:rPr>
          <w:rStyle w:val="normaltextrun"/>
          <w:rFonts w:ascii="Arial" w:eastAsia="Arial" w:hAnsi="Arial" w:cs="Arial"/>
          <w:b/>
          <w:bCs/>
          <w:color w:val="000000" w:themeColor="text1" w:themeShade="FF" w:themeTint="FF"/>
          <w:sz w:val="24"/>
          <w:szCs w:val="24"/>
        </w:rPr>
        <w:t>PgCert Cardiac Care</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PgCert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Independent/Supplementary Prescribing for Nurses and Midwives</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2"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E"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PgCert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Independent/Supplementary Prescribing for Nurses and Midwives</w:t>
            </w:r>
          </w:p>
        </w:tc>
      </w:tr>
      <w:tr w14:paraId="17F545E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Clinical Reasoning in Health Assessment: Lifespan Perspectives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NW7032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Independent/Supplementary Prescribing for Nurses and Midwives (V300)</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NW7033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acquired from the two core </w:t>
      </w:r>
      <w:r w:rsidRPr="2030048C">
        <w:rPr>
          <w:rStyle w:val="normaltextrun"/>
          <w:rFonts w:ascii="Arial" w:eastAsia="Arial" w:hAnsi="Arial" w:cs="Arial"/>
          <w:color w:val="000000" w:themeColor="text1" w:themeShade="FF" w:themeTint="FF"/>
          <w:sz w:val="24"/>
          <w:szCs w:val="24"/>
        </w:rPr>
        <w:t>modules: Advanced Clinical Reasoning in health assessment: Lifespan perspectives </w:t>
      </w:r>
      <w:r w:rsidRPr="2030048C">
        <w:rPr>
          <w:rStyle w:val="normaltextrun"/>
          <w:rFonts w:ascii="Arial" w:eastAsia="Arial" w:hAnsi="Arial" w:cs="Arial"/>
          <w:color w:val="000000" w:themeColor="text1" w:themeShade="FF" w:themeTint="FF"/>
          <w:sz w:val="24"/>
          <w:szCs w:val="24"/>
        </w:rPr>
        <w:t>(30credits) and Independent / Supplementary Prescribing for nurses and midwives </w:t>
      </w:r>
      <w:r w:rsidRPr="2030048C">
        <w:rPr>
          <w:rStyle w:val="normaltextrun"/>
          <w:rFonts w:ascii="Arial" w:eastAsia="Arial" w:hAnsi="Arial" w:cs="Arial"/>
          <w:color w:val="000000" w:themeColor="text1" w:themeShade="FF" w:themeTint="FF"/>
          <w:sz w:val="24"/>
          <w:szCs w:val="24"/>
        </w:rPr>
        <w:t xml:space="preserve">(30credits) are eligible for the award of </w:t>
      </w:r>
      <w:r w:rsidRPr="2030048C">
        <w:rPr>
          <w:rStyle w:val="normaltextrun"/>
          <w:rFonts w:ascii="Arial" w:eastAsia="Arial" w:hAnsi="Arial" w:cs="Arial"/>
          <w:b/>
          <w:bCs/>
          <w:color w:val="000000" w:themeColor="text1" w:themeShade="FF" w:themeTint="FF"/>
          <w:sz w:val="24"/>
          <w:szCs w:val="24"/>
        </w:rPr>
        <w:t>PgCert Independent / Supplementary </w:t>
      </w:r>
      <w:r w:rsidRPr="2030048C">
        <w:rPr>
          <w:rStyle w:val="normaltextrun"/>
          <w:rFonts w:ascii="Arial" w:eastAsia="Arial" w:hAnsi="Arial" w:cs="Arial"/>
          <w:b/>
          <w:bCs/>
          <w:color w:val="000000" w:themeColor="text1" w:themeShade="FF" w:themeTint="FF"/>
          <w:sz w:val="24"/>
          <w:szCs w:val="24"/>
        </w:rPr>
        <w:t>Prescribing for nurses and midwives</w:t>
      </w:r>
      <w:r w:rsidRPr="2030048C">
        <w:rPr>
          <w:rStyle w:val="normaltextrun"/>
          <w:rFonts w:ascii="Arial" w:eastAsia="Arial" w:hAnsi="Arial" w:cs="Arial"/>
          <w:color w:val="000000" w:themeColor="text1" w:themeShade="FF" w:themeTint="FF"/>
          <w:sz w:val="24"/>
          <w:szCs w:val="24"/>
        </w:rPr>
        <w:t>.</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Modules on MSc Healthcare Practice delivered by King's Academy</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3"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Modules on MSc Healthcare Practice delivered by King's Academy</w:t>
            </w:r>
          </w:p>
        </w:tc>
      </w:tr>
      <w:tr w14:paraId="17F545F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672489F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94F06F4">
            <w:pPr>
              <w:jc w:val="center"/>
              <w:rPr>
                <w:rFonts w:ascii="Arial" w:eastAsia="Arial" w:hAnsi="Arial" w:cs="Arial"/>
                <w:sz w:val="24"/>
                <w:szCs w:val="24"/>
              </w:rPr>
            </w:pPr>
          </w:p>
        </w:tc>
      </w:tr>
      <w:tr w14:paraId="21361EC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Debriefing in Healthcare Simulation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Professional, or someone with relevant healthcare simulation experience.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Healthcare Simulation: Design &amp; Delivery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NW7052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Professional, or someone with relevant healthcare simulation experience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Advancing Skills and Knowledge for Critical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 Registered Nurse • STEP 1 Competency Framework</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Advancing Skills and Knowledge for Holistic care of Cystic Fibrosis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practitioners</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Advancing Skills and Knowledge in Neonatal Intensive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NW7051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 Registered Nurses who have completed a neonatal SCBU/HDU course Applicants must be working on a Level 3 Unit or have access to a placement on the same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Chest Radiograph Interpretation for Advanced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NW7053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Advanced Physical Assessment Locally approved non-medical referrer (IRMER)</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9"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Haematological Malignancies: Developing knowledge and skills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A"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Liver Disorders: Evidence –Based strategies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Liver Disorders: Evidence –Based strategies (online delivery)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Neonatal Special Care and High Dependency: evidence-based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C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Older people’s care: Evidence based approaches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NW7040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or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MSc Healthcare Practice</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completing the programme with 180 Level 7* credits are eligible for the award</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of Master's of Science Degree Healthcare Practice. This award comprises of 135 free</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choice credits at level 7 (list of option modules from Kingston University and/or King’s </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Academy) and </w:t>
      </w:r>
      <w:r w:rsidRPr="2030048C">
        <w:rPr>
          <w:rStyle w:val="normaltextrun"/>
          <w:rFonts w:ascii="Arial" w:eastAsia="Arial" w:hAnsi="Arial" w:cs="Arial"/>
          <w:color w:val="000000" w:themeColor="text1" w:themeShade="FF" w:themeTint="FF"/>
          <w:sz w:val="24"/>
          <w:szCs w:val="24"/>
          <w:u w:val="single"/>
        </w:rPr>
        <w:t>must</w:t>
      </w:r>
      <w:r w:rsidRPr="2030048C">
        <w:rPr>
          <w:rStyle w:val="normaltextrun"/>
          <w:rFonts w:ascii="Arial" w:eastAsia="Arial" w:hAnsi="Arial" w:cs="Arial"/>
          <w:color w:val="000000" w:themeColor="text1" w:themeShade="FF" w:themeTint="FF"/>
          <w:sz w:val="24"/>
          <w:szCs w:val="24"/>
        </w:rPr>
        <w:t xml:space="preserve"> include the core modules Applied Research Methods (15 credits)</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and Capstone Project (30 credits). </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*May include 30 credits level 6 via RPL if overall programme learning outcomes are met.</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Postgraduate Diploma Healthcare Practice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 in Healthcare Practice</w:t>
      </w:r>
      <w:r w:rsidRPr="2030048C">
        <w:rPr>
          <w:rStyle w:val="normaltextrun"/>
          <w:rFonts w:ascii="Arial" w:eastAsia="Arial" w:hAnsi="Arial" w:cs="Arial"/>
          <w:i/>
          <w:iCs/>
          <w:color w:val="C00000"/>
          <w:sz w:val="24"/>
          <w:szCs w:val="24"/>
        </w:rPr>
        <w:t>.</w:t>
      </w:r>
      <w:r w:rsidRPr="2030048C">
        <w:rPr>
          <w:rStyle w:val="normaltextrun"/>
          <w:rFonts w:ascii="Arial" w:eastAsia="Arial" w:hAnsi="Arial" w:cs="Arial"/>
          <w:color w:val="000000" w:themeColor="text1" w:themeShade="FF" w:themeTint="FF"/>
          <w:sz w:val="24"/>
          <w:szCs w:val="24"/>
        </w:rPr>
        <w:t xml:space="preserve"> This award comprises of 105 free-choice credits at level 7 (list of option modules from Kingston University and/or King’s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Academy) and must include the core module Applied Research Methods (15 credits).</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t>
      </w:r>
      <w:r w:rsidRPr="2030048C">
        <w:rPr>
          <w:rStyle w:val="normaltextrun"/>
          <w:rFonts w:ascii="Arial" w:eastAsia="Arial" w:hAnsi="Arial" w:cs="Arial"/>
          <w:color w:val="000000" w:themeColor="text1" w:themeShade="FF" w:themeTint="FF"/>
          <w:sz w:val="24"/>
          <w:szCs w:val="24"/>
        </w:rPr>
        <w:t>May include 30 credits level 6 via RPL if overall programme learning outcomes are met.</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Postgraduate Certificate Healthcare Practice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 in Healthcare Practice. This award comprises of 60 free-choice credits at level 7 (list of option modules from Kingston University and/or King’s Academy).</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#May include 15 credits level 6 via RPL if overall programme learning outcomes are met.</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 (Clinical Leadership)</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4"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90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 (Clinical Leadership)</w:t>
            </w:r>
          </w:p>
        </w:tc>
      </w:tr>
      <w:tr w14:paraId="17F545F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Introduction to Leadership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HC7008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Leadership and Change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HC7002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Reflexive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HC7007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ind w:left="57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MSc Healthcare Practice (Clinical Leadership)</w:t>
      </w:r>
    </w:p>
    <w:p w:rsidR="22C556D0" w:rsidRPr="2030048C" w:rsidP="2030048C">
      <w:pPr>
        <w:ind w:left="57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completing the pathway with 180 Level 7* credits are eligible for the award of </w:t>
      </w:r>
      <w:r w:rsidRPr="2030048C">
        <w:rPr>
          <w:rStyle w:val="normaltextrun"/>
          <w:rFonts w:ascii="Arial" w:eastAsia="Arial" w:hAnsi="Arial" w:cs="Arial"/>
          <w:color w:val="000000" w:themeColor="text1" w:themeShade="FF" w:themeTint="FF"/>
          <w:sz w:val="24"/>
          <w:szCs w:val="24"/>
        </w:rPr>
        <w:t>Master's of Science Degree Healthcare Practice (Clinical Leadership). This award </w:t>
      </w:r>
      <w:r w:rsidRPr="2030048C">
        <w:rPr>
          <w:rStyle w:val="normaltextrun"/>
          <w:rFonts w:ascii="Arial" w:eastAsia="Arial" w:hAnsi="Arial" w:cs="Arial"/>
          <w:color w:val="000000" w:themeColor="text1" w:themeShade="FF" w:themeTint="FF"/>
          <w:sz w:val="24"/>
          <w:szCs w:val="24"/>
        </w:rPr>
        <w:t>comprises of 45 free-choice credits at level 7 (list of option modules from Kingston </w:t>
      </w:r>
      <w:r w:rsidRPr="2030048C">
        <w:rPr>
          <w:rStyle w:val="normaltextrun"/>
          <w:rFonts w:ascii="Arial" w:eastAsia="Arial" w:hAnsi="Arial" w:cs="Arial"/>
          <w:color w:val="000000" w:themeColor="text1" w:themeShade="FF" w:themeTint="FF"/>
          <w:sz w:val="24"/>
          <w:szCs w:val="24"/>
        </w:rPr>
        <w:t>University and/or King’s Academy) and must include the core modules Introduction to </w:t>
      </w:r>
      <w:r w:rsidRPr="2030048C">
        <w:rPr>
          <w:rStyle w:val="normaltextrun"/>
          <w:rFonts w:ascii="Arial" w:eastAsia="Arial" w:hAnsi="Arial" w:cs="Arial"/>
          <w:color w:val="000000" w:themeColor="text1" w:themeShade="FF" w:themeTint="FF"/>
          <w:sz w:val="24"/>
          <w:szCs w:val="24"/>
        </w:rPr>
        <w:t>Leadership and Management (30 credits), Leadership and Change Management (30 </w:t>
      </w:r>
      <w:r w:rsidRPr="2030048C">
        <w:rPr>
          <w:rStyle w:val="normaltextrun"/>
          <w:rFonts w:ascii="Arial" w:eastAsia="Arial" w:hAnsi="Arial" w:cs="Arial"/>
          <w:color w:val="000000" w:themeColor="text1" w:themeShade="FF" w:themeTint="FF"/>
          <w:sz w:val="24"/>
          <w:szCs w:val="24"/>
        </w:rPr>
        <w:t>credits), Reflexive Leadership (30 credits), Applied Research Methods (15 credits) and </w:t>
      </w:r>
      <w:r w:rsidRPr="2030048C">
        <w:rPr>
          <w:rStyle w:val="normaltextrun"/>
          <w:rFonts w:ascii="Arial" w:eastAsia="Arial" w:hAnsi="Arial" w:cs="Arial"/>
          <w:color w:val="000000" w:themeColor="text1" w:themeShade="FF" w:themeTint="FF"/>
          <w:sz w:val="24"/>
          <w:szCs w:val="24"/>
        </w:rPr>
        <w:t xml:space="preserve">Capstone Project (30 credits). </w:t>
      </w:r>
    </w:p>
    <w:p w:rsidR="22C556D0"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 xml:space="preserve">Postgraduate Diploma Healthcare Practice (Clinical Leadership)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 Healthcare Practice (Clinical Leadership). This award </w:t>
      </w:r>
      <w:r w:rsidRPr="2030048C">
        <w:rPr>
          <w:rStyle w:val="normaltextrun"/>
          <w:rFonts w:ascii="Arial" w:eastAsia="Arial" w:hAnsi="Arial" w:cs="Arial"/>
          <w:color w:val="000000" w:themeColor="text1" w:themeShade="FF" w:themeTint="FF"/>
          <w:sz w:val="24"/>
          <w:szCs w:val="24"/>
        </w:rPr>
        <w:t>comprises of 15 free-choice credits at level 7 (list of option modules from Kingston </w:t>
      </w:r>
      <w:r w:rsidRPr="2030048C">
        <w:rPr>
          <w:rStyle w:val="normaltextrun"/>
          <w:rFonts w:ascii="Arial" w:eastAsia="Arial" w:hAnsi="Arial" w:cs="Arial"/>
          <w:color w:val="000000" w:themeColor="text1" w:themeShade="FF" w:themeTint="FF"/>
          <w:sz w:val="24"/>
          <w:szCs w:val="24"/>
        </w:rPr>
        <w:t xml:space="preserve">University and/or King’s Academy) and must include four core modules: </w:t>
      </w:r>
      <w:r w:rsidRPr="2030048C">
        <w:rPr>
          <w:rStyle w:val="normaltextrun"/>
          <w:rFonts w:ascii="Arial" w:eastAsia="Arial" w:hAnsi="Arial" w:cs="Arial"/>
          <w:color w:val="000000" w:themeColor="text1" w:themeShade="FF" w:themeTint="FF"/>
          <w:sz w:val="24"/>
          <w:szCs w:val="24"/>
        </w:rPr>
        <w:t xml:space="preserve">Introduction to Leadership and management (30 credits), Leadership and change management (30 credits), Reflexive Leadership (30 credits) </w:t>
      </w:r>
      <w:r w:rsidRPr="2030048C">
        <w:rPr>
          <w:rStyle w:val="normaltextrun"/>
          <w:rFonts w:ascii="Arial" w:eastAsia="Arial" w:hAnsi="Arial" w:cs="Arial"/>
          <w:color w:val="000000" w:themeColor="text1" w:themeShade="FF" w:themeTint="FF"/>
          <w:sz w:val="24"/>
          <w:szCs w:val="24"/>
        </w:rPr>
        <w:t>and Applied Research Methods (15 credits).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*May include 30 credits level 6 via RPL if overall programme learning outcomes are met.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 xml:space="preserve">Postgraduate Certificate Healthcare Practice (Clinical Leadership)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acquired from a combination of </w:t>
      </w:r>
      <w:r w:rsidRPr="2030048C">
        <w:rPr>
          <w:rStyle w:val="normaltextrun"/>
          <w:rFonts w:ascii="Arial" w:eastAsia="Arial" w:hAnsi="Arial" w:cs="Arial"/>
          <w:color w:val="000000" w:themeColor="text1" w:themeShade="FF" w:themeTint="FF"/>
          <w:sz w:val="24"/>
          <w:szCs w:val="24"/>
        </w:rPr>
        <w:t xml:space="preserve">two modules: </w:t>
      </w:r>
      <w:r w:rsidRPr="2030048C">
        <w:rPr>
          <w:rStyle w:val="normaltextrun"/>
          <w:rFonts w:ascii="Arial" w:eastAsia="Arial" w:hAnsi="Arial" w:cs="Arial"/>
          <w:color w:val="000000" w:themeColor="text1" w:themeShade="FF" w:themeTint="FF"/>
          <w:sz w:val="24"/>
          <w:szCs w:val="24"/>
        </w:rPr>
        <w:t>Introduction to Leadership and management (30 credits), </w:t>
      </w:r>
      <w:r w:rsidRPr="2030048C">
        <w:rPr>
          <w:rStyle w:val="normaltextrun"/>
          <w:rFonts w:ascii="Arial" w:eastAsia="Arial" w:hAnsi="Arial" w:cs="Arial"/>
          <w:color w:val="000000" w:themeColor="text1" w:themeShade="FF" w:themeTint="FF"/>
          <w:sz w:val="24"/>
          <w:szCs w:val="24"/>
        </w:rPr>
        <w:t>Leadership and change management (30 credits), Reflexive Leadership (30 credits) </w:t>
      </w:r>
      <w:r w:rsidRPr="2030048C">
        <w:rPr>
          <w:rStyle w:val="normaltextrun"/>
          <w:rFonts w:ascii="Arial" w:eastAsia="Arial" w:hAnsi="Arial" w:cs="Arial"/>
          <w:color w:val="000000" w:themeColor="text1" w:themeShade="FF" w:themeTint="FF"/>
          <w:sz w:val="24"/>
          <w:szCs w:val="24"/>
        </w:rPr>
        <w:t>are eligible for the award of PgCert Healthcare Practice (Clinical Leadership).</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PGCert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Neonatal Critical Care</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5"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901"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PGCert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Neonatal Critical Care</w:t>
            </w:r>
          </w:p>
        </w:tc>
      </w:tr>
      <w:tr w14:paraId="17F545F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9"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Foundations in Neonatal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A"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Specialist Neonatal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NW7046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(KU students only)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Most of the modules offered within the programme are also available at level 6, enabling students from both academic levels to be co-taught. This approach expands learner diversity and the range of professional practice settings which course participants are from, enriches the learning exchange between participants and widens learner networking opportunities. This is particularly relevant for the highly specialist modules where recruitment numbers are naturally small. Teaching and learning strategies of co-taught modules are tailored to meet the needs of learners, taking into consideration the spread of prior academic achievement. Lecturers in the teaching team have extensive experience of co-teaching level 6 and level 7 modules and learning activities are based on an inclusive, no deficit teaching approach which encourages learners to share experiences, and to work together to problem solve. Students at level 6 will have access to level 6 Canvas (VLE) learning resources and students at level 7 will have access to level 7 Canvas learning resources. Each Canvas module will have a specifically tailored section to signpost students to learning strategies to help them succeed in the module.</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Heading2"/>
        <w:ind w:left="570"/>
        <w:outlineLvl w:val="1"/>
        <w:rPr>
          <w:rFonts w:ascii="Arial" w:eastAsia="Arial" w:hAnsi="Arial" w:cs="Arial"/>
          <w:sz w:val="24"/>
          <w:szCs w:val="24"/>
        </w:rPr>
      </w:pPr>
      <w:r w:rsidRPr="2030048C">
        <w:rPr>
          <w:rFonts w:ascii="Arial" w:eastAsia="Arial" w:hAnsi="Arial" w:cs="Arial"/>
          <w:b/>
          <w:bCs/>
          <w:color w:val="2E74B5"/>
          <w:sz w:val="24"/>
          <w:szCs w:val="24"/>
        </w:rPr>
        <w:t xml:space="preserve">Support for Students and their Learning : KU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b/>
          <w:bCs/>
          <w:color w:val="2E74B5"/>
          <w:sz w:val="24"/>
          <w:szCs w:val="24"/>
        </w:rPr>
        <w:t>Support for Students and their Learning: Kings Academy</w:t>
      </w:r>
    </w:p>
    <w:p w:rsidRPr="2030048C" w:rsidP="2030048C">
      <w:pPr>
        <w:rPr>
          <w:rFonts w:ascii="Arial" w:eastAsia="Arial" w:hAnsi="Arial" w:cs="Arial"/>
          <w:sz w:val="24"/>
          <w:szCs w:val="24"/>
        </w:rPr>
      </w:pPr>
      <w:r w:rsidRPr="2030048C">
        <w:rPr>
          <w:rFonts w:ascii="Arial" w:eastAsia="Arial" w:hAnsi="Arial" w:cs="Arial"/>
          <w:color w:val="000000"/>
          <w:sz w:val="24"/>
          <w:szCs w:val="24"/>
        </w:rPr>
        <w:t xml:space="preserve">King’s College Hospital has its own well-established Library and corresponding services. </w:t>
      </w:r>
    </w:p>
    <w:p w:rsidRPr="2030048C" w:rsidP="2030048C">
      <w:pPr>
        <w:pStyle w:val="MAInterior"/>
        <w:rPr>
          <w:rFonts w:ascii="Arial" w:eastAsia="Arial" w:hAnsi="Arial" w:cs="Arial"/>
          <w:sz w:val="24"/>
          <w:szCs w:val="24"/>
        </w:rPr>
      </w:pPr>
      <w:r w:rsidRPr="2030048C">
        <w:rPr>
          <w:rFonts w:ascii="Arial" w:eastAsia="Arial" w:hAnsi="Arial" w:cs="Arial"/>
          <w:color w:val="000000"/>
          <w:sz w:val="24"/>
          <w:szCs w:val="24"/>
        </w:rPr>
        <w:t>The Library at King’s College Hospital provides support for those preparing to study for staff /students who require a refresher or are new to studying the UK.  The team are responsive to the student’s needs and the package includes:</w:t>
      </w:r>
    </w:p>
    <w:p w:rsidRPr="2030048C" w:rsidP="2030048C">
      <w:pPr>
        <w:pStyle w:val="x"/>
        <w:rPr>
          <w:rFonts w:ascii="Arial" w:eastAsia="Arial" w:hAnsi="Arial" w:cs="Arial"/>
          <w:sz w:val="24"/>
          <w:szCs w:val="24"/>
        </w:rPr>
      </w:pPr>
      <w:r w:rsidRPr="2030048C">
        <w:rPr>
          <w:rFonts w:ascii="Arial" w:eastAsia="Arial" w:hAnsi="Arial" w:cs="Arial"/>
          <w:sz w:val="22"/>
          <w:szCs w:val="22"/>
        </w:rPr>
        <w:t> </w:t>
      </w:r>
      <w:r w:rsidRPr="2030048C">
        <w:rPr>
          <w:rFonts w:ascii="Arial" w:eastAsia="Arial" w:hAnsi="Arial" w:cs="Arial"/>
          <w:color w:val="000000"/>
          <w:sz w:val="24"/>
          <w:szCs w:val="24"/>
        </w:rPr>
        <w:t>·       Study planning and time management</w:t>
      </w:r>
    </w:p>
    <w:p w:rsidRPr="2030048C" w:rsidP="2030048C">
      <w:pPr>
        <w:pStyle w:val="x"/>
        <w:ind w:left="720"/>
        <w:rPr>
          <w:rFonts w:ascii="Arial" w:eastAsia="Arial" w:hAnsi="Arial" w:cs="Arial"/>
          <w:sz w:val="24"/>
          <w:szCs w:val="24"/>
        </w:rPr>
      </w:pPr>
      <w:r w:rsidRPr="2030048C">
        <w:rPr>
          <w:rFonts w:ascii="Arial" w:eastAsia="Arial" w:hAnsi="Arial" w:cs="Arial"/>
          <w:color w:val="000000"/>
          <w:sz w:val="24"/>
          <w:szCs w:val="24"/>
        </w:rPr>
        <w:t>·       Reading and note-taking strategies</w:t>
      </w:r>
    </w:p>
    <w:p w:rsidRPr="2030048C" w:rsidP="2030048C">
      <w:pPr>
        <w:pStyle w:val="x"/>
        <w:ind w:left="720"/>
        <w:rPr>
          <w:rFonts w:ascii="Arial" w:eastAsia="Arial" w:hAnsi="Arial" w:cs="Arial"/>
          <w:sz w:val="24"/>
          <w:szCs w:val="24"/>
        </w:rPr>
      </w:pPr>
      <w:r w:rsidRPr="2030048C">
        <w:rPr>
          <w:rFonts w:ascii="Arial" w:eastAsia="Arial" w:hAnsi="Arial" w:cs="Arial"/>
          <w:color w:val="000000"/>
          <w:sz w:val="24"/>
          <w:szCs w:val="24"/>
        </w:rPr>
        <w:t>·       Evaluating information sources</w:t>
      </w:r>
    </w:p>
    <w:p w:rsidRPr="2030048C" w:rsidP="2030048C">
      <w:pPr>
        <w:pStyle w:val="x"/>
        <w:ind w:left="720"/>
        <w:rPr>
          <w:rFonts w:ascii="Arial" w:eastAsia="Arial" w:hAnsi="Arial" w:cs="Arial"/>
          <w:sz w:val="24"/>
          <w:szCs w:val="24"/>
        </w:rPr>
      </w:pPr>
      <w:r w:rsidRPr="2030048C">
        <w:rPr>
          <w:rFonts w:ascii="Arial" w:eastAsia="Arial" w:hAnsi="Arial" w:cs="Arial"/>
          <w:color w:val="000000"/>
          <w:sz w:val="24"/>
          <w:szCs w:val="24"/>
        </w:rPr>
        <w:t>·       Essay writing structure and style</w:t>
      </w:r>
    </w:p>
    <w:p w:rsidRPr="2030048C" w:rsidP="2030048C">
      <w:pPr>
        <w:pStyle w:val="x"/>
        <w:ind w:left="720"/>
        <w:rPr>
          <w:rFonts w:ascii="Arial" w:eastAsia="Arial" w:hAnsi="Arial" w:cs="Arial"/>
          <w:sz w:val="24"/>
          <w:szCs w:val="24"/>
        </w:rPr>
      </w:pPr>
      <w:r w:rsidRPr="2030048C">
        <w:rPr>
          <w:rFonts w:ascii="Arial" w:eastAsia="Arial" w:hAnsi="Arial" w:cs="Arial"/>
          <w:color w:val="000000"/>
          <w:sz w:val="24"/>
          <w:szCs w:val="24"/>
        </w:rPr>
        <w:t>·       Referencing and avoiding plagiarism</w:t>
      </w:r>
    </w:p>
    <w:p w:rsidRPr="2030048C" w:rsidP="2030048C">
      <w:pPr>
        <w:pStyle w:val="x"/>
        <w:rPr>
          <w:rFonts w:ascii="Arial" w:eastAsia="Arial" w:hAnsi="Arial" w:cs="Arial"/>
          <w:sz w:val="24"/>
          <w:szCs w:val="24"/>
        </w:rPr>
      </w:pPr>
      <w:r w:rsidRPr="2030048C">
        <w:rPr>
          <w:rFonts w:ascii="Arial" w:eastAsia="Arial" w:hAnsi="Arial" w:cs="Arial"/>
          <w:sz w:val="22"/>
          <w:szCs w:val="22"/>
        </w:rPr>
        <w:t> </w:t>
      </w:r>
      <w:r w:rsidRPr="2030048C">
        <w:rPr>
          <w:rFonts w:ascii="Arial" w:eastAsia="Arial" w:hAnsi="Arial" w:cs="Arial"/>
          <w:color w:val="000000"/>
          <w:sz w:val="24"/>
          <w:szCs w:val="24"/>
        </w:rPr>
        <w:t>All King’s Academy enrolled students have access to a VLE platform called LEAP that has been developed to meet the needs of the students and will closely mirror Kingston University’s (KU) Canvas platform. All learning material, interactive sessions, submission of work, quality reporting and communication results will be housed in LEAP. TURNITIN has been purchased and is being utilised for all academic submissions.</w:t>
      </w:r>
    </w:p>
    <w:p w:rsidRPr="2030048C" w:rsidP="2030048C">
      <w:pPr>
        <w:pStyle w:val="x"/>
        <w:rPr>
          <w:rFonts w:ascii="Arial" w:eastAsia="Arial" w:hAnsi="Arial" w:cs="Arial"/>
          <w:sz w:val="24"/>
          <w:szCs w:val="24"/>
        </w:rPr>
      </w:pPr>
      <w:r w:rsidRPr="2030048C">
        <w:rPr>
          <w:rFonts w:ascii="Arial" w:eastAsia="Arial" w:hAnsi="Arial" w:cs="Arial"/>
          <w:color w:val="000000"/>
          <w:sz w:val="24"/>
          <w:szCs w:val="24"/>
        </w:rPr>
        <w:t>Students with disabilities will be signposted to online resources and given addition support as required</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NW7033 Independent / Supplementary Prescribing for Nurses and Midwives meets PSRB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95"/>
        <w:gridCol w:w="208"/>
        <w:gridCol w:w="564"/>
        <w:gridCol w:w="564"/>
        <w:gridCol w:w="564"/>
        <w:gridCol w:w="564"/>
        <w:gridCol w:w="564"/>
        <w:gridCol w:w="564"/>
        <w:gridCol w:w="564"/>
        <w:gridCol w:w="564"/>
        <w:gridCol w:w="564"/>
        <w:gridCol w:w="534"/>
        <w:gridCol w:w="534"/>
        <w:gridCol w:w="534"/>
        <w:gridCol w:w="564"/>
        <w:gridCol w:w="56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NW7033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HC7007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HC7002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HC7008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NW7045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NW7046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AInterior">
    <w:name w:val="MAInterior"/>
    <w:basedOn w:val="Normal"/>
  </w:style>
  <w:style w:type="paragraph" w:customStyle="1" w:styleId="x">
    <w:name w:val="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d68b3152cf5d08c2f050-97c828cc9502c69ac5af7576c62d48d6.ssl.cf3.rackcdn.com/documents/user-upload/kingston-university-63963086086-kingston-university-gr5-changes.pdf"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89D5C7A-0765-4842-9670-1E4DA52A148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