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Children’s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Children’s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in Health and Well 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in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Health and Wellbeing (student passes all credit bearing modules- 270 credits, but fails 0 credit modules required for top award)</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PFNCH1NCH20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B733 MSc/Children's Nursing</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It is an NMC requirement that no compensation is allowed and a variant request will be submitted for the new course in line with the existing variant</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Only two attempts at the practice assessment document are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Aims of the Course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9"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Children’s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0"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building on and further developing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children and young people’s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children and young people’s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children’s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children and young people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children’s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2300 hours of practice learning. Practice learning comprises simulated practice learning and placements. Students are able to RPL 650 hours of practice learning prior to entry to the course.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module Canvas pages.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Children’s Nursing</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Essential skills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fundamental elements of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NP7001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Caring for children and young people with acute healthcare needs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children’s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Contemporary public health and community nursing for children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Leading care for children and young people’s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programme is designed to meet the principles outlined in the Kingston University Revised Academic Framework.  Practice placements are integrated across each year of the programme and in order to meet the Nursing and Midwifery Council programme standards and EU Directive 2005/36/EC requirements programme delivery is across 45 weeks in each year.</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programme is designed as a continuous process where theory and practice are interlinked and inform each other with an equal balance of theory and practice. Students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practice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w:t>
      </w:r>
    </w:p>
    <w:p w:rsidRPr="2030048C" w:rsidP="2030048C">
      <w:pPr>
        <w:jc w:val="both"/>
        <w:rPr>
          <w:rFonts w:ascii="Arial" w:eastAsia="Arial" w:hAnsi="Arial" w:cs="Arial"/>
          <w:sz w:val="24"/>
          <w:szCs w:val="24"/>
        </w:rPr>
      </w:pPr>
      <w:r w:rsidRPr="2030048C">
        <w:rPr>
          <w:rFonts w:ascii="Arial" w:eastAsia="Arial" w:hAnsi="Arial" w:cs="Arial"/>
          <w:sz w:val="24"/>
          <w:szCs w:val="24"/>
        </w:rPr>
        <w:t>Whilst the programme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w:t>
      </w:r>
      <w:r w:rsidRPr="2030048C">
        <w:rPr>
          <w:rFonts w:ascii="Arial" w:eastAsia="Arial" w:hAnsi="Arial" w:cs="Arial"/>
          <w:sz w:val="24"/>
          <w:szCs w:val="24"/>
        </w:rPr>
        <w:t xml:space="preserve">  </w:t>
      </w:r>
      <w:r w:rsidRPr="2030048C">
        <w:rPr>
          <w:rFonts w:ascii="Arial" w:eastAsia="Arial" w:hAnsi="Arial" w:cs="Arial"/>
          <w:sz w:val="24"/>
          <w:szCs w:val="24"/>
        </w:rPr>
        <w:t>To meet these diverse needs the student will study modules which are specific to their field</w:t>
      </w:r>
      <w:r w:rsidRPr="2030048C">
        <w:rPr>
          <w:rFonts w:ascii="Arial" w:eastAsia="Arial" w:hAnsi="Arial" w:cs="Arial"/>
          <w:sz w:val="24"/>
          <w:szCs w:val="24"/>
        </w:rPr>
        <w:t xml:space="preserve"> </w:t>
      </w:r>
      <w:r w:rsidRPr="2030048C">
        <w:rPr>
          <w:rFonts w:ascii="Arial" w:eastAsia="Arial" w:hAnsi="Arial" w:cs="Arial"/>
          <w:sz w:val="24"/>
          <w:szCs w:val="24"/>
        </w:rPr>
        <w:t xml:space="preserve">as well as generic modules which </w:t>
      </w:r>
      <w:r w:rsidRPr="2030048C">
        <w:rPr>
          <w:rFonts w:ascii="Arial" w:eastAsia="Arial" w:hAnsi="Arial" w:cs="Arial"/>
          <w:sz w:val="24"/>
          <w:szCs w:val="24"/>
        </w:rPr>
        <w:t>also consider cross-field issues.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Modules are organised in a staged approach throughout the academic year to maximise opportunities for the integration of theory and practice and to ensure a manageable student workload. Year 1 </w:t>
      </w:r>
      <w:r w:rsidRPr="2030048C">
        <w:rPr>
          <w:rFonts w:ascii="Arial" w:eastAsia="Arial" w:hAnsi="Arial" w:cs="Arial"/>
          <w:sz w:val="24"/>
          <w:szCs w:val="24"/>
        </w:rPr>
        <w:t xml:space="preserve">semester one </w:t>
      </w:r>
      <w:r w:rsidRPr="2030048C">
        <w:rPr>
          <w:rFonts w:ascii="Arial" w:eastAsia="Arial" w:hAnsi="Arial" w:cs="Arial"/>
          <w:sz w:val="24"/>
          <w:szCs w:val="24"/>
        </w:rPr>
        <w:t>develops a broad understanding of nursing knowledge to underpin practice and enables the student to provide reasoned explanations of relevant issues</w:t>
      </w:r>
      <w:r w:rsidRPr="2030048C">
        <w:rPr>
          <w:rFonts w:ascii="Arial" w:eastAsia="Arial" w:hAnsi="Arial" w:cs="Arial"/>
          <w:sz w:val="24"/>
          <w:szCs w:val="24"/>
        </w:rPr>
        <w:t xml:space="preserve"> and develops the student to acquire</w:t>
      </w:r>
      <w:r w:rsidRPr="2030048C">
        <w:rPr>
          <w:rFonts w:ascii="Arial" w:eastAsia="Arial" w:hAnsi="Arial" w:cs="Arial"/>
          <w:sz w:val="24"/>
          <w:szCs w:val="24"/>
        </w:rPr>
        <w:t xml:space="preserve"> a more detailed understanding of the subject matter</w:t>
      </w:r>
      <w:r w:rsidRPr="2030048C">
        <w:rPr>
          <w:rFonts w:ascii="Arial" w:eastAsia="Arial" w:hAnsi="Arial" w:cs="Arial"/>
          <w:sz w:val="24"/>
          <w:szCs w:val="24"/>
        </w:rPr>
        <w:t xml:space="preserve">. Year one semester two provides is focused on field specific learning </w:t>
      </w:r>
      <w:r w:rsidRPr="2030048C">
        <w:rPr>
          <w:rFonts w:ascii="Arial" w:eastAsia="Arial" w:hAnsi="Arial" w:cs="Arial"/>
          <w:sz w:val="24"/>
          <w:szCs w:val="24"/>
        </w:rPr>
        <w:t xml:space="preserve">developing theories and concepts to enable students to provide substantiated arguments relating to relevant issues. Year </w:t>
      </w:r>
      <w:r w:rsidRPr="2030048C">
        <w:rPr>
          <w:rFonts w:ascii="Arial" w:eastAsia="Arial" w:hAnsi="Arial" w:cs="Arial"/>
          <w:sz w:val="24"/>
          <w:szCs w:val="24"/>
        </w:rPr>
        <w:t xml:space="preserve">2 </w:t>
      </w:r>
      <w:r w:rsidRPr="2030048C">
        <w:rPr>
          <w:rFonts w:ascii="Arial" w:eastAsia="Arial" w:hAnsi="Arial" w:cs="Arial"/>
          <w:sz w:val="24"/>
          <w:szCs w:val="24"/>
        </w:rPr>
        <w:t>prepares students for their role in providing, leading and coordinating evidence based care with a focus on improving the safety and quality of the care they deliver.</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students progress through the academic levels. </w:t>
      </w:r>
      <w:r w:rsidRPr="2030048C">
        <w:rPr>
          <w:rFonts w:ascii="Arial" w:eastAsia="Arial" w:hAnsi="Arial" w:cs="Arial"/>
          <w:sz w:val="24"/>
          <w:szCs w:val="24"/>
        </w:rPr>
        <w:t>The Masters students gain experience working within a clinical research environment to gain an insight into clinical trials and the role of clinical research within patient care.</w:t>
      </w:r>
    </w:p>
    <w:p w:rsidRPr="2030048C" w:rsidP="2030048C">
      <w:pPr>
        <w:jc w:val="both"/>
        <w:rPr>
          <w:rFonts w:ascii="Arial" w:eastAsia="Arial" w:hAnsi="Arial" w:cs="Arial"/>
          <w:sz w:val="24"/>
          <w:szCs w:val="24"/>
        </w:rPr>
      </w:pPr>
      <w:r w:rsidRPr="2030048C">
        <w:rPr>
          <w:rFonts w:ascii="Arial" w:eastAsia="Arial" w:hAnsi="Arial" w:cs="Arial"/>
          <w:sz w:val="24"/>
          <w:szCs w:val="24"/>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Service user, employer and student input to programme design and delivery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rsidRPr="2030048C" w:rsidP="2030048C">
      <w:pPr>
        <w:jc w:val="both"/>
        <w:rPr>
          <w:rFonts w:ascii="Arial" w:eastAsia="Arial" w:hAnsi="Arial" w:cs="Arial"/>
          <w:sz w:val="24"/>
          <w:szCs w:val="24"/>
        </w:rPr>
      </w:pPr>
      <w:r w:rsidRPr="2030048C">
        <w:rPr>
          <w:rFonts w:ascii="Arial" w:eastAsia="Arial" w:hAnsi="Arial" w:cs="Arial"/>
          <w:b/>
          <w:bCs/>
          <w:sz w:val="24"/>
          <w:szCs w:val="24"/>
        </w:rPr>
        <w:t>Teaching and Learning</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is delivered through the integration of a variety of face-to-face sessions in small and large groups, lectures, conferences, seminars, group work, problem-based learning, clinical skills and simulated learning.</w:t>
      </w:r>
    </w:p>
    <w:p w:rsidRPr="2030048C" w:rsidP="2030048C">
      <w:pPr>
        <w:rPr>
          <w:rFonts w:ascii="Arial" w:eastAsia="Arial" w:hAnsi="Arial" w:cs="Arial"/>
          <w:sz w:val="24"/>
          <w:szCs w:val="24"/>
        </w:rPr>
      </w:pPr>
      <w:r w:rsidRPr="2030048C">
        <w:rPr>
          <w:rFonts w:ascii="Arial" w:eastAsia="Arial" w:hAnsi="Arial" w:cs="Arial"/>
          <w:sz w:val="24"/>
          <w:szCs w:val="24"/>
        </w:rPr>
        <w:t xml:space="preserve">Technology is used to enhance and support learning. Canvas a virtual learning environment (VLE) is utilised to provide students with information about the programme, modules and teaching /learning materials and enables virtual discussions on topics to take place or </w:t>
      </w:r>
      <w:r w:rsidRPr="2030048C">
        <w:rPr>
          <w:rFonts w:ascii="Arial" w:eastAsia="Arial" w:hAnsi="Arial" w:cs="Arial"/>
          <w:sz w:val="24"/>
          <w:szCs w:val="24"/>
        </w:rPr>
        <w:t>students to collaborate on learning activities.</w:t>
      </w:r>
      <w:r w:rsidRPr="2030048C">
        <w:rPr>
          <w:rFonts w:ascii="Arial" w:eastAsia="Arial" w:hAnsi="Arial" w:cs="Arial"/>
          <w:sz w:val="24"/>
          <w:szCs w:val="24"/>
        </w:rPr>
        <w:t xml:space="preserve">  </w:t>
      </w:r>
      <w:r w:rsidRPr="2030048C">
        <w:rPr>
          <w:rFonts w:ascii="Arial" w:eastAsia="Arial" w:hAnsi="Arial" w:cs="Arial"/>
          <w:sz w:val="24"/>
          <w:szCs w:val="24"/>
        </w:rPr>
        <w:t xml:space="preserve">Those with mobile devices, such as Smart Phones can download the Canvas App and E-learning resources (e.g.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rsidRPr="2030048C" w:rsidP="2030048C">
      <w:pPr>
        <w:jc w:val="both"/>
        <w:rPr>
          <w:rFonts w:ascii="Arial" w:eastAsia="Arial" w:hAnsi="Arial" w:cs="Arial"/>
          <w:sz w:val="24"/>
          <w:szCs w:val="24"/>
        </w:rPr>
      </w:pPr>
      <w:r w:rsidRPr="2030048C">
        <w:rPr>
          <w:rFonts w:ascii="Arial" w:eastAsia="Arial" w:hAnsi="Arial" w:cs="Arial"/>
          <w:sz w:val="24"/>
          <w:szCs w:val="24"/>
        </w:rPr>
        <w:t>The integration of theory and practice is achieved through learning, teaching and assessment strategies which require students to reflect on their experiences in practice.</w:t>
      </w:r>
      <w:r w:rsidRPr="2030048C">
        <w:rPr>
          <w:rFonts w:ascii="Arial" w:eastAsia="Arial" w:hAnsi="Arial" w:cs="Arial"/>
          <w:sz w:val="24"/>
          <w:szCs w:val="24"/>
        </w:rPr>
        <w:t xml:space="preserve"> </w:t>
      </w:r>
      <w:r w:rsidRPr="2030048C">
        <w:rPr>
          <w:rFonts w:ascii="Arial" w:eastAsia="Arial" w:hAnsi="Arial" w:cs="Arial"/>
          <w:sz w:val="24"/>
          <w:szCs w:val="24"/>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rsidRPr="2030048C" w:rsidP="2030048C">
      <w:pPr>
        <w:jc w:val="both"/>
        <w:rPr>
          <w:rFonts w:ascii="Arial" w:eastAsia="Arial" w:hAnsi="Arial" w:cs="Arial"/>
          <w:sz w:val="24"/>
          <w:szCs w:val="24"/>
        </w:rPr>
      </w:pPr>
      <w:r w:rsidRPr="2030048C">
        <w:rPr>
          <w:rFonts w:ascii="Arial" w:eastAsia="Arial" w:hAnsi="Arial" w:cs="Arial"/>
          <w:sz w:val="24"/>
          <w:szCs w:val="24"/>
        </w:rPr>
        <w:t>Research Informed Teaching is delivered in a number of ways to ensure students achieve the appropriate academic skills and engage with evidence-based practice (EBP). Newell and Burnard’s (2011) 5 stages of EBP inform the development of these skills within curriculum:</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Asking answera</w:t>
      </w:r>
      <w:r w:rsidRPr="2030048C">
        <w:rPr>
          <w:rFonts w:ascii="Arial" w:eastAsia="Arial" w:hAnsi="Arial" w:cs="Arial"/>
          <w:sz w:val="24"/>
          <w:szCs w:val="24"/>
        </w:rPr>
        <w:t xml:space="preserve">ble questions from practice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Find </w:t>
      </w:r>
      <w:r w:rsidRPr="2030048C">
        <w:rPr>
          <w:rFonts w:ascii="Arial" w:eastAsia="Arial" w:hAnsi="Arial" w:cs="Arial"/>
          <w:sz w:val="24"/>
          <w:szCs w:val="24"/>
        </w:rPr>
        <w:t xml:space="preserve">the best available evidence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Appraising the evidence for</w:t>
      </w:r>
      <w:r w:rsidRPr="2030048C">
        <w:rPr>
          <w:rFonts w:ascii="Arial" w:eastAsia="Arial" w:hAnsi="Arial" w:cs="Arial"/>
          <w:sz w:val="24"/>
          <w:szCs w:val="24"/>
        </w:rPr>
        <w:t xml:space="preserve"> validity and applicability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Applying the results of app</w:t>
      </w:r>
      <w:r w:rsidRPr="2030048C">
        <w:rPr>
          <w:rFonts w:ascii="Arial" w:eastAsia="Arial" w:hAnsi="Arial" w:cs="Arial"/>
          <w:sz w:val="24"/>
          <w:szCs w:val="24"/>
        </w:rPr>
        <w:t>raisal to clinical practice</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Evaluate the effe</w:t>
      </w:r>
      <w:r w:rsidRPr="2030048C">
        <w:rPr>
          <w:rFonts w:ascii="Arial" w:eastAsia="Arial" w:hAnsi="Arial" w:cs="Arial"/>
          <w:sz w:val="24"/>
          <w:szCs w:val="24"/>
        </w:rPr>
        <w:t xml:space="preserve">ct of applying the evidence </w:t>
      </w:r>
    </w:p>
    <w:p w:rsidRPr="2030048C" w:rsidP="2030048C">
      <w:pPr>
        <w:jc w:val="both"/>
        <w:rPr>
          <w:rFonts w:ascii="Arial" w:eastAsia="Arial" w:hAnsi="Arial" w:cs="Arial"/>
          <w:sz w:val="24"/>
          <w:szCs w:val="24"/>
        </w:rPr>
      </w:pPr>
      <w:r w:rsidRPr="2030048C">
        <w:rPr>
          <w:rFonts w:ascii="Arial" w:eastAsia="Arial" w:hAnsi="Arial" w:cs="Arial"/>
          <w:sz w:val="24"/>
          <w:szCs w:val="24"/>
        </w:rPr>
        <w:t>Critical thinking skills are recognised as being essential both for academic achievement and future professional employment.</w:t>
      </w:r>
      <w:r w:rsidRPr="2030048C">
        <w:rPr>
          <w:rFonts w:ascii="Arial" w:eastAsia="Arial" w:hAnsi="Arial" w:cs="Arial"/>
          <w:sz w:val="24"/>
          <w:szCs w:val="24"/>
        </w:rPr>
        <w:t xml:space="preserve">  </w:t>
      </w:r>
      <w:r w:rsidRPr="2030048C">
        <w:rPr>
          <w:rFonts w:ascii="Arial" w:eastAsia="Arial" w:hAnsi="Arial" w:cs="Arial"/>
          <w:sz w:val="24"/>
          <w:szCs w:val="24"/>
        </w:rPr>
        <w:t>These are further developed in the Masters students through the ‘Critical Thinking Skills Toolkit’ which is embedded throughout the programme.</w:t>
      </w:r>
      <w:r w:rsidRPr="2030048C">
        <w:rPr>
          <w:rFonts w:ascii="Arial" w:eastAsia="Arial" w:hAnsi="Arial" w:cs="Arial"/>
          <w:sz w:val="24"/>
          <w:szCs w:val="24"/>
        </w:rPr>
        <w:t xml:space="preserve">  </w:t>
      </w:r>
      <w:r w:rsidRPr="2030048C">
        <w:rPr>
          <w:rFonts w:ascii="Arial" w:eastAsia="Arial" w:hAnsi="Arial" w:cs="Arial"/>
          <w:sz w:val="24"/>
          <w:szCs w:val="24"/>
        </w:rPr>
        <w:t xml:space="preserve">This toolkit contains activities that develop the skills students need to become thoughtful, objective and reasoned thinkers. Masters students will use all of the skills within the toolkit enabling them to feel confident to independently select the relevant tools for their academic tasks.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year 2 module Safety and Quality </w:t>
      </w:r>
      <w:r w:rsidRPr="2030048C">
        <w:rPr>
          <w:rFonts w:ascii="Arial" w:eastAsia="Arial" w:hAnsi="Arial" w:cs="Arial"/>
          <w:sz w:val="24"/>
          <w:szCs w:val="24"/>
        </w:rPr>
        <w:t xml:space="preserve">applied to </w:t>
      </w:r>
      <w:r w:rsidRPr="2030048C">
        <w:rPr>
          <w:rFonts w:ascii="Arial" w:eastAsia="Arial" w:hAnsi="Arial" w:cs="Arial"/>
          <w:sz w:val="24"/>
          <w:szCs w:val="24"/>
        </w:rPr>
        <w:t>their field of nursing allows students to undertake an in depth exploration of an area that requires change or improvement drawing upon evidence-based knowledge to underpin their recommendations.</w:t>
      </w:r>
      <w:r w:rsidRPr="2030048C">
        <w:rPr>
          <w:rFonts w:ascii="Arial" w:eastAsia="Arial" w:hAnsi="Arial" w:cs="Arial"/>
          <w:sz w:val="24"/>
          <w:szCs w:val="24"/>
        </w:rPr>
        <w:t xml:space="preserve">  </w:t>
      </w:r>
      <w:r w:rsidRPr="2030048C">
        <w:rPr>
          <w:rFonts w:ascii="Arial" w:eastAsia="Arial" w:hAnsi="Arial" w:cs="Arial"/>
          <w:sz w:val="24"/>
          <w:szCs w:val="24"/>
        </w:rPr>
        <w:t xml:space="preserve">Furthermore, the use of an enquiry-based approach to learning and teaching, particularly in Year 2, fosters the development of relevant skills. </w:t>
      </w:r>
      <w:r w:rsidRPr="2030048C">
        <w:rPr>
          <w:rFonts w:ascii="Arial" w:eastAsia="Arial" w:hAnsi="Arial" w:cs="Arial"/>
          <w:sz w:val="24"/>
          <w:szCs w:val="24"/>
        </w:rPr>
        <w:t>Research informed teaching is delivered through the integration of the significant body of research generated through the Faculty professors, visiting professors</w:t>
      </w:r>
      <w:r w:rsidRPr="2030048C">
        <w:rPr>
          <w:rFonts w:ascii="Arial" w:eastAsia="Arial" w:hAnsi="Arial" w:cs="Arial"/>
          <w:sz w:val="24"/>
          <w:szCs w:val="24"/>
        </w:rPr>
        <w:t>,</w:t>
      </w:r>
      <w:r w:rsidRPr="2030048C">
        <w:rPr>
          <w:rFonts w:ascii="Arial" w:eastAsia="Arial" w:hAnsi="Arial" w:cs="Arial"/>
          <w:sz w:val="24"/>
          <w:szCs w:val="24"/>
        </w:rPr>
        <w:t xml:space="preserve"> doctoral staff and students and </w:t>
      </w:r>
      <w:r w:rsidRPr="2030048C">
        <w:rPr>
          <w:rFonts w:ascii="Arial" w:eastAsia="Arial" w:hAnsi="Arial" w:cs="Arial"/>
          <w:sz w:val="24"/>
          <w:szCs w:val="24"/>
        </w:rPr>
        <w:t xml:space="preserve">the inter-professional </w:t>
      </w:r>
      <w:r w:rsidRPr="2030048C">
        <w:rPr>
          <w:rFonts w:ascii="Arial" w:eastAsia="Arial" w:hAnsi="Arial" w:cs="Arial"/>
          <w:sz w:val="24"/>
          <w:szCs w:val="24"/>
        </w:rPr>
        <w:t>course team.</w:t>
      </w:r>
      <w:r w:rsidRPr="2030048C">
        <w:rPr>
          <w:rFonts w:ascii="Arial" w:eastAsia="Arial" w:hAnsi="Arial" w:cs="Arial"/>
          <w:sz w:val="24"/>
          <w:szCs w:val="24"/>
        </w:rPr>
        <w:t xml:space="preserve"> This approach supports students to consolidate their learning and develop an enquiry-based approach to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Year 2 of the programme, students undertake shared learning with their BSc (Hons) colleagues who are </w:t>
      </w:r>
      <w:r w:rsidRPr="2030048C">
        <w:rPr>
          <w:rFonts w:ascii="Arial" w:eastAsia="Arial" w:hAnsi="Arial" w:cs="Arial"/>
          <w:sz w:val="24"/>
          <w:szCs w:val="24"/>
        </w:rPr>
        <w:t>enrolled on</w:t>
      </w:r>
      <w:r w:rsidRPr="2030048C">
        <w:rPr>
          <w:rFonts w:ascii="Arial" w:eastAsia="Arial" w:hAnsi="Arial" w:cs="Arial"/>
          <w:sz w:val="24"/>
          <w:szCs w:val="24"/>
        </w:rPr>
        <w:t xml:space="preserve"> the </w:t>
      </w:r>
      <w:r w:rsidRPr="2030048C">
        <w:rPr>
          <w:rFonts w:ascii="Arial" w:eastAsia="Arial" w:hAnsi="Arial" w:cs="Arial"/>
          <w:sz w:val="24"/>
          <w:szCs w:val="24"/>
        </w:rPr>
        <w:t xml:space="preserve">pre-registration nursing </w:t>
      </w:r>
      <w:r w:rsidRPr="2030048C">
        <w:rPr>
          <w:rFonts w:ascii="Arial" w:eastAsia="Arial" w:hAnsi="Arial" w:cs="Arial"/>
          <w:sz w:val="24"/>
          <w:szCs w:val="24"/>
        </w:rPr>
        <w:t>programme. The concurrent delivery of aca</w:t>
      </w:r>
      <w:r w:rsidRPr="2030048C">
        <w:rPr>
          <w:rFonts w:ascii="Arial" w:eastAsia="Arial" w:hAnsi="Arial" w:cs="Arial"/>
          <w:sz w:val="24"/>
          <w:szCs w:val="24"/>
        </w:rPr>
        <w:t xml:space="preserve">demic levels 6 and 7 in year 2 </w:t>
      </w:r>
      <w:r w:rsidRPr="2030048C">
        <w:rPr>
          <w:rFonts w:ascii="Arial" w:eastAsia="Arial" w:hAnsi="Arial" w:cs="Arial"/>
          <w:sz w:val="24"/>
          <w:szCs w:val="24"/>
        </w:rPr>
        <w:t>is facilitated through a mixture of joint and separate sessions for each group of students.</w:t>
      </w:r>
      <w:r w:rsidRPr="2030048C">
        <w:rPr>
          <w:rFonts w:ascii="Arial" w:eastAsia="Arial" w:hAnsi="Arial" w:cs="Arial"/>
          <w:sz w:val="24"/>
          <w:szCs w:val="24"/>
        </w:rPr>
        <w:t xml:space="preserve">  </w:t>
      </w:r>
      <w:r w:rsidRPr="2030048C">
        <w:rPr>
          <w:rFonts w:ascii="Arial" w:eastAsia="Arial" w:hAnsi="Arial" w:cs="Arial"/>
          <w:sz w:val="24"/>
          <w:szCs w:val="24"/>
        </w:rPr>
        <w:t xml:space="preserve">This maximises the benefits of </w:t>
      </w:r>
      <w:r w:rsidRPr="2030048C">
        <w:rPr>
          <w:rFonts w:ascii="Arial" w:eastAsia="Arial" w:hAnsi="Arial" w:cs="Arial"/>
          <w:sz w:val="24"/>
          <w:szCs w:val="24"/>
        </w:rPr>
        <w:t xml:space="preserve">interprofessional, </w:t>
      </w:r>
      <w:r w:rsidRPr="2030048C">
        <w:rPr>
          <w:rFonts w:ascii="Arial" w:eastAsia="Arial" w:hAnsi="Arial" w:cs="Arial"/>
          <w:sz w:val="24"/>
          <w:szCs w:val="24"/>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w:t>
      </w:r>
      <w:r w:rsidRPr="2030048C">
        <w:rPr>
          <w:rFonts w:ascii="Arial" w:eastAsia="Arial" w:hAnsi="Arial" w:cs="Arial"/>
          <w:sz w:val="24"/>
          <w:szCs w:val="24"/>
        </w:rPr>
        <w:t xml:space="preserve">number of learning activities are undertaken within practice, the classroom and within the Clinical Skills and Simulation Suite with different professional groups including: medicine, physiotherapy, midwifery, social work, paramedics and radiography. </w:t>
      </w:r>
      <w:r w:rsidRPr="2030048C">
        <w:rPr>
          <w:rFonts w:ascii="Arial" w:eastAsia="Arial" w:hAnsi="Arial" w:cs="Arial"/>
          <w:sz w:val="24"/>
          <w:szCs w:val="24"/>
        </w:rPr>
        <w:t>Masters students share some learning with pharmacy students and explore the use of tele health with them.</w:t>
      </w:r>
    </w:p>
    <w:p w:rsidRPr="2030048C" w:rsidP="2030048C">
      <w:pPr>
        <w:jc w:val="both"/>
        <w:rPr>
          <w:rFonts w:ascii="Arial" w:eastAsia="Arial" w:hAnsi="Arial" w:cs="Arial"/>
          <w:sz w:val="24"/>
          <w:szCs w:val="24"/>
        </w:rPr>
      </w:pPr>
      <w:r w:rsidRPr="2030048C">
        <w:rPr>
          <w:rFonts w:ascii="Arial" w:eastAsia="Arial" w:hAnsi="Arial" w:cs="Arial"/>
          <w:sz w:val="24"/>
          <w:szCs w:val="24"/>
        </w:rPr>
        <w:t>Guided independent study activities are designated for each module and are identified on Canvas, along with information on the expectations for the activities and the time that should be allocated.</w:t>
      </w:r>
    </w:p>
    <w:p w:rsidRPr="2030048C" w:rsidP="2030048C">
      <w:pPr>
        <w:jc w:val="both"/>
        <w:rPr>
          <w:rFonts w:ascii="Arial" w:eastAsia="Arial" w:hAnsi="Arial" w:cs="Arial"/>
          <w:sz w:val="24"/>
          <w:szCs w:val="24"/>
        </w:rPr>
      </w:pPr>
      <w:r w:rsidRPr="2030048C">
        <w:rPr>
          <w:rFonts w:ascii="Arial" w:eastAsia="Arial" w:hAnsi="Arial" w:cs="Arial"/>
          <w:sz w:val="24"/>
          <w:szCs w:val="24"/>
        </w:rPr>
        <w:t>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Academic skills development</w:t>
      </w:r>
      <w:r w:rsidRPr="2030048C">
        <w:rPr>
          <w:rFonts w:ascii="Arial" w:eastAsia="Arial" w:hAnsi="Arial" w:cs="Arial"/>
          <w:sz w:val="24"/>
          <w:szCs w:val="24"/>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rsidRPr="2030048C" w:rsidP="2030048C">
      <w:pPr>
        <w:rPr>
          <w:rFonts w:ascii="Arial" w:eastAsia="Arial" w:hAnsi="Arial" w:cs="Arial"/>
          <w:sz w:val="24"/>
          <w:szCs w:val="24"/>
        </w:rPr>
      </w:pPr>
      <w:r w:rsidRPr="2030048C">
        <w:rPr>
          <w:rFonts w:ascii="Arial" w:eastAsia="Arial" w:hAnsi="Arial" w:cs="Arial"/>
          <w:sz w:val="24"/>
          <w:szCs w:val="24"/>
        </w:rPr>
        <w:t>Guided independent study activities are designated for each module and are identified on Canvas, along with information on the expectations for the activities and the time that should be allocated.</w:t>
      </w:r>
    </w:p>
    <w:p w:rsidRPr="2030048C" w:rsidP="2030048C">
      <w:pPr>
        <w:jc w:val="both"/>
        <w:rPr>
          <w:rFonts w:ascii="Arial" w:eastAsia="Arial" w:hAnsi="Arial" w:cs="Arial"/>
          <w:sz w:val="24"/>
          <w:szCs w:val="24"/>
        </w:rPr>
      </w:pPr>
      <w:r w:rsidRPr="2030048C">
        <w:rPr>
          <w:rFonts w:ascii="Arial" w:eastAsia="Arial" w:hAnsi="Arial" w:cs="Arial"/>
          <w:sz w:val="24"/>
          <w:szCs w:val="24"/>
          <w:u w:val="single"/>
        </w:rPr>
        <w:t>The clinical skills and simulation practice modules</w:t>
      </w:r>
      <w:r w:rsidRPr="2030048C">
        <w:rPr>
          <w:rFonts w:ascii="Arial" w:eastAsia="Arial" w:hAnsi="Arial" w:cs="Arial"/>
          <w:sz w:val="24"/>
          <w:szCs w:val="24"/>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w:t>
      </w:r>
      <w:r w:rsidRPr="2030048C">
        <w:rPr>
          <w:rFonts w:ascii="Arial" w:eastAsia="Arial" w:hAnsi="Arial" w:cs="Arial"/>
          <w:sz w:val="24"/>
          <w:szCs w:val="24"/>
        </w:rPr>
        <w:t>beneficial learning tool for practice when looked at in the debrief</w:t>
      </w:r>
      <w:r w:rsidRPr="2030048C">
        <w:rPr>
          <w:rFonts w:ascii="Arial" w:eastAsia="Arial" w:hAnsi="Arial" w:cs="Arial"/>
          <w:sz w:val="24"/>
          <w:szCs w:val="24"/>
        </w:rPr>
        <w:t xml:space="preserve"> session</w:t>
      </w:r>
      <w:r w:rsidRPr="2030048C">
        <w:rPr>
          <w:rFonts w:ascii="Arial" w:eastAsia="Arial" w:hAnsi="Arial" w:cs="Arial"/>
          <w:sz w:val="24"/>
          <w:szCs w:val="24"/>
        </w:rPr>
        <w:t xml:space="preserve">. There is also the facility to stream live footage from one room to another, so groups can observe each other looking at areas such as team work and leadership in a resuscitation scenario. </w:t>
      </w:r>
      <w:r w:rsidRPr="2030048C">
        <w:rPr>
          <w:rFonts w:ascii="Arial" w:eastAsia="Arial" w:hAnsi="Arial" w:cs="Arial"/>
          <w:sz w:val="24"/>
          <w:szCs w:val="24"/>
        </w:rPr>
        <w:t xml:space="preserve">The groups then attend a debriefing session where peer and lecturer feedback is given. </w:t>
      </w:r>
      <w:r w:rsidRPr="2030048C">
        <w:rPr>
          <w:rFonts w:ascii="Arial" w:eastAsia="Arial" w:hAnsi="Arial" w:cs="Arial"/>
          <w:sz w:val="24"/>
          <w:szCs w:val="24"/>
        </w:rPr>
        <w:t xml:space="preserve">The streamed footage is recorded and given to students to they can reflect in their own time about their and their team’s performance.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have access to online learning facilities including comprehensive clinical skills packages via clinc</w:t>
      </w:r>
      <w:r w:rsidRPr="2030048C">
        <w:rPr>
          <w:rFonts w:ascii="Arial" w:eastAsia="Arial" w:hAnsi="Arial" w:cs="Arial"/>
          <w:sz w:val="24"/>
          <w:szCs w:val="24"/>
        </w:rPr>
        <w:t xml:space="preserve">ialskills.net, videos, quizzes and </w:t>
      </w:r>
      <w:r w:rsidRPr="2030048C">
        <w:rPr>
          <w:rFonts w:ascii="Arial" w:eastAsia="Arial" w:hAnsi="Arial" w:cs="Arial"/>
          <w:sz w:val="24"/>
          <w:szCs w:val="24"/>
        </w:rPr>
        <w:t>MOOC</w:t>
      </w:r>
      <w:r w:rsidRPr="2030048C">
        <w:rPr>
          <w:rFonts w:ascii="Arial" w:eastAsia="Arial" w:hAnsi="Arial" w:cs="Arial"/>
          <w:sz w:val="24"/>
          <w:szCs w:val="24"/>
        </w:rPr>
        <w:t>s</w:t>
      </w:r>
      <w:r w:rsidRPr="2030048C">
        <w:rPr>
          <w:rFonts w:ascii="Arial" w:eastAsia="Arial" w:hAnsi="Arial" w:cs="Arial"/>
          <w:sz w:val="24"/>
          <w:szCs w:val="24"/>
        </w:rPr>
        <w:t xml:space="preserve"> to further support skills development. These are all updated annually or more frequently if needed. Blended learning is integrated to engage students, increase their knowledge and be a resource for further learning.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design and delivery enables the development of students’ digital and technological skills as outlined by Health Education England (</w:t>
      </w:r>
      <w:r w:rsidRPr="2030048C">
        <w:rPr>
          <w:rFonts w:ascii="Arial" w:eastAsia="Arial" w:hAnsi="Arial" w:cs="Arial"/>
          <w:sz w:val="24"/>
          <w:szCs w:val="24"/>
        </w:rPr>
        <w:t xml:space="preserve">NHS, </w:t>
      </w:r>
      <w:r w:rsidRPr="2030048C">
        <w:rPr>
          <w:rFonts w:ascii="Arial" w:eastAsia="Arial" w:hAnsi="Arial" w:cs="Arial"/>
          <w:sz w:val="24"/>
          <w:szCs w:val="24"/>
        </w:rPr>
        <w:t>2018) and meet the needs of people in their care to ensure safe and effective nursing practice (NMC, 2018).</w:t>
      </w:r>
    </w:p>
    <w:p w:rsidRPr="2030048C" w:rsidP="2030048C">
      <w:pPr>
        <w:jc w:val="both"/>
        <w:rPr>
          <w:rFonts w:ascii="Arial" w:eastAsia="Arial" w:hAnsi="Arial" w:cs="Arial"/>
          <w:sz w:val="24"/>
          <w:szCs w:val="24"/>
        </w:rPr>
      </w:pPr>
      <w:r w:rsidRPr="2030048C">
        <w:rPr>
          <w:rFonts w:ascii="Arial" w:eastAsia="Arial" w:hAnsi="Arial" w:cs="Arial"/>
          <w:b/>
          <w:bCs/>
          <w:sz w:val="24"/>
          <w:szCs w:val="24"/>
        </w:rPr>
        <w:t>Practice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Practice learning is an integral part of the programme and students undertake practice learning placements across a range of settings. </w:t>
      </w:r>
      <w:r w:rsidRPr="2030048C">
        <w:rPr>
          <w:rFonts w:ascii="Arial" w:eastAsia="Arial" w:hAnsi="Arial" w:cs="Arial"/>
          <w:sz w:val="24"/>
          <w:szCs w:val="24"/>
        </w:rPr>
        <w:t xml:space="preserve">It is a requirement of the Nursing and Midwifery Council that students undertake a minimum of 2300 hours of practice and are they are supernumerary in practice placements. </w:t>
      </w:r>
      <w:r w:rsidRPr="2030048C">
        <w:rPr>
          <w:rFonts w:ascii="Arial" w:eastAsia="Arial" w:hAnsi="Arial" w:cs="Arial"/>
          <w:sz w:val="24"/>
          <w:szCs w:val="24"/>
        </w:rPr>
        <w:t>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Nursing</w:t>
      </w:r>
      <w:r w:rsidRPr="2030048C">
        <w:rPr>
          <w:rFonts w:ascii="Arial" w:eastAsia="Arial" w:hAnsi="Arial" w:cs="Arial"/>
          <w:sz w:val="24"/>
          <w:szCs w:val="24"/>
        </w:rPr>
        <w:t xml:space="preserve">  </w:t>
      </w:r>
      <w:r w:rsidRPr="2030048C">
        <w:rPr>
          <w:rFonts w:ascii="Arial" w:eastAsia="Arial" w:hAnsi="Arial" w:cs="Arial"/>
          <w:sz w:val="24"/>
          <w:szCs w:val="24"/>
        </w:rPr>
        <w:t xml:space="preserve">(NMC, 2018). Each placement has a designated Link Lecturer from the University who is available to provide guidance to practice supervisors and practice assessors and students where required.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rsidRPr="2030048C" w:rsidP="2030048C">
      <w:pPr>
        <w:jc w:val="both"/>
        <w:rPr>
          <w:rFonts w:ascii="Arial" w:eastAsia="Arial" w:hAnsi="Arial" w:cs="Arial"/>
          <w:sz w:val="24"/>
          <w:szCs w:val="24"/>
        </w:rPr>
      </w:pPr>
      <w:r w:rsidRPr="2030048C">
        <w:rPr>
          <w:rFonts w:ascii="Arial" w:eastAsia="Arial" w:hAnsi="Arial" w:cs="Arial"/>
          <w:sz w:val="24"/>
          <w:szCs w:val="24"/>
        </w:rPr>
        <w:t>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at the end of y</w:t>
      </w:r>
      <w:r w:rsidRPr="2030048C">
        <w:rPr>
          <w:rFonts w:ascii="Arial" w:eastAsia="Arial" w:hAnsi="Arial" w:cs="Arial"/>
          <w:sz w:val="24"/>
          <w:szCs w:val="24"/>
        </w:rPr>
        <w:t>ear one</w:t>
      </w:r>
      <w:r w:rsidRPr="2030048C">
        <w:rPr>
          <w:rFonts w:ascii="Arial" w:eastAsia="Arial" w:hAnsi="Arial" w:cs="Arial"/>
          <w:sz w:val="24"/>
          <w:szCs w:val="24"/>
        </w:rPr>
        <w:t xml:space="preserve"> which can also include clinical research placements.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Assessment Method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w:t>
      </w:r>
      <w:r w:rsidRPr="2030048C">
        <w:rPr>
          <w:rFonts w:ascii="Arial" w:eastAsia="Arial" w:hAnsi="Arial" w:cs="Arial"/>
          <w:sz w:val="24"/>
          <w:szCs w:val="24"/>
        </w:rPr>
        <w:t xml:space="preserve">points, which clarifies what they need to do to develop their future assignments and academic skills, and achieve their full potential. Assignments are assessed using an online marking rubric to ensure transparency and facilitate feedback and feed-forward. A range of assessment types are employed and include examinations, essays, reports, presentations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w:t>
      </w:r>
      <w:r w:rsidRPr="2030048C">
        <w:rPr>
          <w:rFonts w:ascii="Arial" w:eastAsia="Arial" w:hAnsi="Arial" w:cs="Arial"/>
          <w:sz w:val="24"/>
          <w:szCs w:val="24"/>
        </w:rPr>
        <w:t>2</w:t>
      </w:r>
      <w:r w:rsidRPr="2030048C">
        <w:rPr>
          <w:rFonts w:ascii="Arial" w:eastAsia="Arial" w:hAnsi="Arial" w:cs="Arial"/>
          <w:sz w:val="24"/>
          <w:szCs w:val="24"/>
        </w:rPr>
        <w:t xml:space="preserve"> which reflects part of the requirements for the revalidation process all Registered Nurses are required to undertake by the Nursing and Midwifery Council to maintain their registration. </w:t>
      </w:r>
    </w:p>
    <w:p w:rsidRPr="2030048C" w:rsidP="2030048C">
      <w:pPr>
        <w:jc w:val="both"/>
        <w:rPr>
          <w:rFonts w:ascii="Arial" w:eastAsia="Arial" w:hAnsi="Arial" w:cs="Arial"/>
          <w:sz w:val="24"/>
          <w:szCs w:val="24"/>
        </w:rPr>
      </w:pPr>
      <w:r w:rsidRPr="2030048C">
        <w:rPr>
          <w:rFonts w:ascii="Arial" w:eastAsia="Arial" w:hAnsi="Arial" w:cs="Arial"/>
          <w:sz w:val="24"/>
          <w:szCs w:val="24"/>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2030048C">
        <w:rPr>
          <w:rFonts w:ascii="Arial" w:eastAsia="Arial" w:hAnsi="Arial" w:cs="Arial"/>
          <w:sz w:val="24"/>
          <w:szCs w:val="24"/>
        </w:rPr>
        <w:t xml:space="preserve">Theory and practice have equal weighting within the programme. Students </w:t>
      </w:r>
      <w:r w:rsidRPr="2030048C">
        <w:rPr>
          <w:rFonts w:ascii="Arial" w:eastAsia="Arial" w:hAnsi="Arial" w:cs="Arial"/>
          <w:b/>
          <w:bCs/>
          <w:sz w:val="24"/>
          <w:szCs w:val="24"/>
        </w:rPr>
        <w:t>have</w:t>
      </w:r>
      <w:r w:rsidRPr="2030048C">
        <w:rPr>
          <w:rFonts w:ascii="Arial" w:eastAsia="Arial" w:hAnsi="Arial" w:cs="Arial"/>
          <w:sz w:val="24"/>
          <w:szCs w:val="24"/>
        </w:rPr>
        <w:t xml:space="preserve"> to achieve a pass in both theory and practice to achieve their final award and register with the NMC</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xml:space="preserve">The School of Nursing recognises that an MSc nursing programme is a demanding course both personally and academically and in recognition of that, a strong emphasis is placed on student support. Students are supported by a number of roles which provide a matrix approach throughout the programme.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have a range of support resources upon which to draw, which includes the following;</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The Course Lead</w:t>
      </w:r>
      <w:r w:rsidRPr="2030048C">
        <w:rPr>
          <w:rFonts w:ascii="Arial" w:eastAsia="Arial" w:hAnsi="Arial" w:cs="Arial"/>
          <w:sz w:val="24"/>
          <w:szCs w:val="24"/>
        </w:rPr>
        <w:t>er</w:t>
      </w:r>
      <w:r w:rsidRPr="2030048C">
        <w:rPr>
          <w:rFonts w:ascii="Arial" w:eastAsia="Arial" w:hAnsi="Arial" w:cs="Arial"/>
          <w:sz w:val="24"/>
          <w:szCs w:val="24"/>
        </w:rPr>
        <w:t xml:space="preserve"> helps students to understand the structure and requirements of the course, in association with the course team. </w:t>
      </w:r>
      <w:r w:rsidRPr="2030048C">
        <w:rPr>
          <w:rFonts w:ascii="Arial" w:eastAsia="Arial" w:hAnsi="Arial" w:cs="Arial"/>
          <w:sz w:val="24"/>
          <w:szCs w:val="24"/>
        </w:rPr>
        <w:t>The Course Leader is responsible for the organisation and management of the programme and overall monitoring of student progression.</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Personal Tutor Scheme:</w:t>
      </w:r>
      <w:r w:rsidRPr="2030048C">
        <w:rPr>
          <w:rFonts w:ascii="Arial" w:eastAsia="Arial" w:hAnsi="Arial" w:cs="Arial"/>
          <w:sz w:val="24"/>
          <w:szCs w:val="24"/>
        </w:rPr>
        <w:t xml:space="preserve">  </w:t>
      </w:r>
      <w:r w:rsidRPr="2030048C">
        <w:rPr>
          <w:rFonts w:ascii="Arial" w:eastAsia="Arial" w:hAnsi="Arial" w:cs="Arial"/>
          <w:sz w:val="24"/>
          <w:szCs w:val="24"/>
        </w:rPr>
        <w:t>Pastoral c</w:t>
      </w:r>
      <w:r w:rsidRPr="2030048C">
        <w:rPr>
          <w:rFonts w:ascii="Arial" w:eastAsia="Arial" w:hAnsi="Arial" w:cs="Arial"/>
          <w:sz w:val="24"/>
          <w:szCs w:val="24"/>
        </w:rPr>
        <w:t>are is a strong feature of the M</w:t>
      </w:r>
      <w:r w:rsidRPr="2030048C">
        <w:rPr>
          <w:rFonts w:ascii="Arial" w:eastAsia="Arial" w:hAnsi="Arial" w:cs="Arial"/>
          <w:sz w:val="24"/>
          <w:szCs w:val="24"/>
        </w:rPr>
        <w:t>Sc Nursing degree.</w:t>
      </w:r>
      <w:r w:rsidRPr="2030048C">
        <w:rPr>
          <w:rFonts w:ascii="Arial" w:eastAsia="Arial" w:hAnsi="Arial" w:cs="Arial"/>
          <w:sz w:val="24"/>
          <w:szCs w:val="24"/>
        </w:rPr>
        <w:t xml:space="preserve">  </w:t>
      </w:r>
      <w:r w:rsidRPr="2030048C">
        <w:rPr>
          <w:rFonts w:ascii="Arial" w:eastAsia="Arial" w:hAnsi="Arial" w:cs="Arial"/>
          <w:sz w:val="24"/>
          <w:szCs w:val="24"/>
        </w:rPr>
        <w:t>It is recognised that the combination of work, study and personal family commitments can be challenging. Every student is allocated a named personal tutor who provides a constant presence and continuity of support throughout the programme, encouraging and motivating their tutees.</w:t>
      </w:r>
      <w:r w:rsidRPr="2030048C">
        <w:rPr>
          <w:rFonts w:ascii="Arial" w:eastAsia="Arial" w:hAnsi="Arial" w:cs="Arial"/>
          <w:sz w:val="24"/>
          <w:szCs w:val="24"/>
        </w:rPr>
        <w:t xml:space="preserve">  </w:t>
      </w:r>
      <w:r w:rsidRPr="2030048C">
        <w:rPr>
          <w:rFonts w:ascii="Arial" w:eastAsia="Arial" w:hAnsi="Arial" w:cs="Arial"/>
          <w:sz w:val="24"/>
          <w:szCs w:val="24"/>
        </w:rPr>
        <w:t xml:space="preserve">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t>
      </w:r>
      <w:r w:rsidRPr="2030048C">
        <w:rPr>
          <w:rFonts w:ascii="Arial" w:eastAsia="Arial" w:hAnsi="Arial" w:cs="Arial"/>
          <w:sz w:val="24"/>
          <w:szCs w:val="24"/>
        </w:rPr>
        <w:t>who can provide one-to-one assistance with academic skill development or other university support services as required.</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Specialist lecturer with a remit for academic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Academic Skills Centres:</w:t>
      </w:r>
      <w:r w:rsidRPr="2030048C">
        <w:rPr>
          <w:rFonts w:ascii="Arial" w:eastAsia="Arial" w:hAnsi="Arial" w:cs="Arial"/>
          <w:sz w:val="24"/>
          <w:szCs w:val="24"/>
        </w:rPr>
        <w:t xml:space="preserve">  </w:t>
      </w:r>
      <w:r w:rsidRPr="2030048C">
        <w:rPr>
          <w:rFonts w:ascii="Arial" w:eastAsia="Arial" w:hAnsi="Arial" w:cs="Arial"/>
          <w:sz w:val="24"/>
          <w:szCs w:val="24"/>
        </w:rPr>
        <w:t>self-referral drop-in centres staffed by specialist academic support lecturers who provide small group and one to one support.</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students. Additional IT support can be accessed via ‘My Kingston’.</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Faculty Student Achievement Officer: This is a non-academic role which provides pastoral support and advice.</w:t>
      </w:r>
      <w:r w:rsidRPr="2030048C">
        <w:rPr>
          <w:rFonts w:ascii="Arial" w:eastAsia="Arial" w:hAnsi="Arial" w:cs="Arial"/>
          <w:sz w:val="24"/>
          <w:szCs w:val="24"/>
        </w:rPr>
        <w:t xml:space="preserve">  </w:t>
      </w:r>
      <w:r w:rsidRPr="2030048C">
        <w:rPr>
          <w:rFonts w:ascii="Arial" w:eastAsia="Arial" w:hAnsi="Arial" w:cs="Arial"/>
          <w:sz w:val="24"/>
          <w:szCs w:val="24"/>
        </w:rPr>
        <w:t>Students can arrange a one-to-one meeting or attend drop-in appointments. The Student Achievement Officer is able to sign-post students to the wide range of services offered by the University.</w:t>
      </w:r>
      <w:r w:rsidRPr="2030048C">
        <w:rPr>
          <w:rFonts w:ascii="Arial" w:eastAsia="Arial" w:hAnsi="Arial" w:cs="Arial"/>
          <w:sz w:val="24"/>
          <w:szCs w:val="24"/>
        </w:rPr>
        <w:t xml:space="preserve">  </w:t>
      </w:r>
      <w:r w:rsidRPr="2030048C">
        <w:rPr>
          <w:rFonts w:ascii="Arial" w:eastAsia="Arial" w:hAnsi="Arial" w:cs="Arial"/>
          <w:sz w:val="24"/>
          <w:szCs w:val="24"/>
        </w:rPr>
        <w:t>These include finance, accommodation, disability and dyslexia, health and well-being, counselling, faith and spirituality, Union of Kingston University Students.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Access </w:t>
      </w:r>
      <w:r w:rsidRPr="2030048C">
        <w:rPr>
          <w:rFonts w:ascii="Arial" w:eastAsia="Arial" w:hAnsi="Arial" w:cs="Arial"/>
          <w:sz w:val="24"/>
          <w:szCs w:val="24"/>
        </w:rPr>
        <w:t>high quality</w:t>
      </w:r>
      <w:r w:rsidRPr="2030048C">
        <w:rPr>
          <w:rFonts w:ascii="Arial" w:eastAsia="Arial" w:hAnsi="Arial" w:cs="Arial"/>
          <w:sz w:val="24"/>
          <w:szCs w:val="24"/>
        </w:rPr>
        <w:t xml:space="preserve"> learning resource centres (LRC), online learning facilities and other learning support. LRC support staff offer academic skills development both within the LRC and also integrated into module delivery.</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student and advises academic staff.</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Health and Well-being (including counselling), Faith and Spirituality regulations, legal matters, accommodation, international student support etc.</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Careers and Employability Service for support CV development and preparation for interviews and employment. </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Dyslexia and disability support (including support for Mental Health concerns). Students with dyslexia and/or disability have access to support at both universities, St George’s </w:t>
      </w:r>
    </w:p>
    <w:p w:rsidRPr="2030048C" w:rsidP="2030048C">
      <w:pPr>
        <w:rPr>
          <w:rFonts w:ascii="Arial" w:eastAsia="Arial" w:hAnsi="Arial" w:cs="Arial"/>
          <w:sz w:val="24"/>
          <w:szCs w:val="24"/>
        </w:rPr>
      </w:pPr>
      <w:r w:rsidRPr="2030048C">
        <w:rPr>
          <w:rFonts w:ascii="Arial" w:eastAsia="Arial" w:hAnsi="Arial" w:cs="Arial"/>
          <w:sz w:val="24"/>
          <w:szCs w:val="24"/>
        </w:rPr>
        <w:t>T</w:t>
      </w:r>
      <w:r w:rsidRPr="2030048C">
        <w:rPr>
          <w:rFonts w:ascii="Arial" w:eastAsia="Arial" w:hAnsi="Arial" w:cs="Arial"/>
          <w:sz w:val="24"/>
          <w:szCs w:val="24"/>
        </w:rPr>
        <w:t>here are a number of other key non-academic roles which provide support for students, such as Professional Support Staff and the Admissions Team.</w:t>
      </w:r>
    </w:p>
    <w:p w:rsidRPr="2030048C" w:rsidP="2030048C">
      <w:pPr>
        <w:rPr>
          <w:rFonts w:ascii="Arial" w:eastAsia="Arial" w:hAnsi="Arial" w:cs="Arial"/>
          <w:sz w:val="24"/>
          <w:szCs w:val="24"/>
        </w:rPr>
      </w:pPr>
      <w:r w:rsidRPr="2030048C">
        <w:rPr>
          <w:rFonts w:ascii="Arial" w:eastAsia="Arial" w:hAnsi="Arial" w:cs="Arial"/>
          <w:sz w:val="24"/>
          <w:szCs w:val="24"/>
        </w:rPr>
        <w:t xml:space="preserve">In clinical practice, students are supported by </w:t>
      </w:r>
      <w:r w:rsidRPr="2030048C">
        <w:rPr>
          <w:rFonts w:ascii="Arial" w:eastAsia="Arial" w:hAnsi="Arial" w:cs="Arial"/>
          <w:sz w:val="24"/>
          <w:szCs w:val="24"/>
        </w:rPr>
        <w:t xml:space="preserve">practice supervisors and practice assessors </w:t>
      </w:r>
      <w:r w:rsidRPr="2030048C">
        <w:rPr>
          <w:rFonts w:ascii="Arial" w:eastAsia="Arial" w:hAnsi="Arial" w:cs="Arial"/>
          <w:sz w:val="24"/>
          <w:szCs w:val="24"/>
        </w:rPr>
        <w:t xml:space="preserve">and a range of other nursing and </w:t>
      </w:r>
      <w:r w:rsidRPr="2030048C">
        <w:rPr>
          <w:rFonts w:ascii="Arial" w:eastAsia="Arial" w:hAnsi="Arial" w:cs="Arial"/>
          <w:sz w:val="24"/>
          <w:szCs w:val="24"/>
        </w:rPr>
        <w:t xml:space="preserve">health and social care professionals. Students are </w:t>
      </w:r>
      <w:r w:rsidRPr="2030048C">
        <w:rPr>
          <w:rFonts w:ascii="Arial" w:eastAsia="Arial" w:hAnsi="Arial" w:cs="Arial"/>
          <w:sz w:val="24"/>
          <w:szCs w:val="24"/>
        </w:rPr>
        <w:t xml:space="preserve">allocated to suitably prepared </w:t>
      </w:r>
      <w:r w:rsidRPr="2030048C">
        <w:rPr>
          <w:rFonts w:ascii="Arial" w:eastAsia="Arial" w:hAnsi="Arial" w:cs="Arial"/>
          <w:sz w:val="24"/>
          <w:szCs w:val="24"/>
        </w:rPr>
        <w:t xml:space="preserve">practice supervisors and practice assessors </w:t>
      </w:r>
      <w:r w:rsidRPr="2030048C">
        <w:rPr>
          <w:rFonts w:ascii="Arial" w:eastAsia="Arial" w:hAnsi="Arial" w:cs="Arial"/>
          <w:sz w:val="24"/>
          <w:szCs w:val="24"/>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Pr="2030048C">
        <w:rPr>
          <w:rFonts w:ascii="Arial" w:eastAsia="Arial" w:hAnsi="Arial" w:cs="Arial"/>
          <w:sz w:val="24"/>
          <w:szCs w:val="24"/>
        </w:rPr>
        <w:t>’</w:t>
      </w:r>
      <w:r w:rsidRPr="2030048C">
        <w:rPr>
          <w:rFonts w:ascii="Arial" w:eastAsia="Arial" w:hAnsi="Arial" w:cs="Arial"/>
          <w:sz w:val="24"/>
          <w:szCs w:val="24"/>
        </w:rPr>
        <w:t xml:space="preserve"> students to discuss the student’s practice pathway and career options. We have a </w:t>
      </w:r>
      <w:r w:rsidRPr="2030048C">
        <w:rPr>
          <w:rFonts w:ascii="Arial" w:eastAsia="Arial" w:hAnsi="Arial" w:cs="Arial"/>
          <w:sz w:val="24"/>
          <w:szCs w:val="24"/>
        </w:rPr>
        <w:t xml:space="preserve">strong collaborative </w:t>
      </w:r>
      <w:r w:rsidRPr="2030048C">
        <w:rPr>
          <w:rFonts w:ascii="Arial" w:eastAsia="Arial" w:hAnsi="Arial" w:cs="Arial"/>
          <w:sz w:val="24"/>
          <w:szCs w:val="24"/>
        </w:rPr>
        <w:t>relationship with practice partners which maximises students’ opportunities for gaining employment at the end of the course.</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b/>
          <w:bCs/>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Students benefit from a wide range of activities which allows them to engage with opportunities both within and beyond the realms of the course:</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Nursing Society provides extra-curricular activities for students and has facilitated a number of collaborations with staff.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KU Ambassadors are a paid role in which students provide support for open days, welcome events and induction. </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There are numerous other opportunities for paid and unpaid roles through volunteering, sports and societies. The Kingston Award is a scheme that allows students to gain recognition for this work and can be used to enhance student CVs when applying for </w:t>
      </w:r>
      <w:r w:rsidRPr="2030048C">
        <w:rPr>
          <w:rFonts w:ascii="Arial" w:eastAsia="Arial" w:hAnsi="Arial" w:cs="Arial"/>
          <w:sz w:val="24"/>
          <w:szCs w:val="24"/>
        </w:rPr>
        <w:t>their first posts.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a number of approaches</w:t>
      </w:r>
      <w:r w:rsidRPr="2030048C">
        <w:rPr>
          <w:rFonts w:ascii="Arial" w:eastAsia="Arial" w:hAnsi="Arial" w:cs="Arial"/>
          <w:sz w:val="24"/>
          <w:szCs w:val="24"/>
        </w:rPr>
        <w:t xml:space="preserve">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Internal Subject Review</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evaluation including Module Evaluation Questionnaire (MEQs), the postgraduate Student Survey (PSS) and </w:t>
      </w:r>
      <w:r w:rsidRPr="2030048C">
        <w:rPr>
          <w:rFonts w:ascii="Arial" w:eastAsia="Arial" w:hAnsi="Arial" w:cs="Arial"/>
          <w:sz w:val="24"/>
          <w:szCs w:val="24"/>
        </w:rPr>
        <w:t xml:space="preserve">evaluation </w:t>
      </w:r>
      <w:r w:rsidRPr="2030048C">
        <w:rPr>
          <w:rFonts w:ascii="Arial" w:eastAsia="Arial" w:hAnsi="Arial" w:cs="Arial"/>
          <w:sz w:val="24"/>
          <w:szCs w:val="24"/>
        </w:rPr>
        <w:t>of practice placement experience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Consultations and feedback with practice partners and service users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8"/>
        <w:gridCol w:w="248"/>
        <w:gridCol w:w="1"/>
        <w:gridCol w:w="627"/>
        <w:gridCol w:w="1"/>
        <w:gridCol w:w="627"/>
        <w:gridCol w:w="1"/>
        <w:gridCol w:w="627"/>
        <w:gridCol w:w="1"/>
        <w:gridCol w:w="627"/>
        <w:gridCol w:w="1"/>
        <w:gridCol w:w="627"/>
        <w:gridCol w:w="1"/>
        <w:gridCol w:w="627"/>
        <w:gridCol w:w="1"/>
        <w:gridCol w:w="627"/>
        <w:gridCol w:w="1"/>
        <w:gridCol w:w="636"/>
        <w:gridCol w:w="1"/>
        <w:gridCol w:w="636"/>
        <w:gridCol w:w="1"/>
        <w:gridCol w:w="636"/>
        <w:gridCol w:w="1"/>
        <w:gridCol w:w="636"/>
        <w:gridCol w:w="1"/>
        <w:gridCol w:w="6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hyperlink" Target="https://www.nmc.org.uk/globalassets/sitedocuments/nmc-publications/nmc-code.pdfhttps:/www.nmc.org.uk/globalassets/sitedocuments/nmc-publications/nmc-code.pdf" TargetMode="Externa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nmc.org.uk/standards/standards-for-nurses/standards-of-proficiency-for-registered-nurs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D5E7F80-EE68-41EF-9032-79FBF0DFFA5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