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MSc</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Biomedical Science Medical Microbiology</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31/05/2012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15/04/2024</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sidR="38278C76">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 xml:space="preserve">Teaching Out </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5</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Faculty of Health, Science, Social Care &amp; Education</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Life Sciences, Pharmacy and Chemistry</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Biomolecular Sciences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 Medical Microbiology</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Pg Cert Biomedical Science Medical Microbiology</w:t>
            </w:r>
            <w:r>
              <w:br/>
            </w:r>
          </w:p>
          <w:p w:rsidR="72431AC7" w:rsidP="01DA1EA0" w14:paraId="59ABF227" w14:textId="338D9999">
            <w:r w:rsidRPr="01DA1EA0">
              <w:rPr>
                <w:rFonts w:ascii="Arial" w:hAnsi="Arial" w:cs="Arial"/>
                <w:sz w:val="22"/>
                <w:szCs w:val="22"/>
              </w:rPr>
              <w:t>Pg Diploma Biomedical Science Medical Microbiology</w:t>
            </w:r>
          </w:p>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PPBSM1BSM01</w:t>
            </w:r>
          </w:p>
          <w:p w:rsidR="72431AC7" w:rsidP="01DA1EA0" w14:paraId="6CCD9CAD" w14:textId="7FB53094">
            <w:r w:rsidRPr="01DA1EA0">
              <w:rPr>
                <w:rFonts w:ascii="Arial" w:hAnsi="Arial" w:cs="Arial"/>
                <w:sz w:val="22"/>
                <w:szCs w:val="22"/>
              </w:rPr>
              <w:t>PFBSM1BSM01</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Sciences Medical Microbiology with Professional Placement</w:t>
            </w:r>
          </w:p>
          <w:p w:rsidR="72431AC7" w:rsidP="72431AC7" w14:textId="77777777">
            <w:pPr>
              <w:rPr>
                <w:rFonts w:ascii="Arial" w:hAnsi="Arial" w:cs="Arial"/>
                <w:sz w:val="22"/>
                <w:szCs w:val="22"/>
              </w:rPr>
            </w:pPr>
          </w:p>
        </w:tc>
      </w:tr>
      <w:tr w14:paraId="34BB979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Cert Biomedical Sciences Medical Microbiology with Professional Placement</w:t>
            </w:r>
            <w:r>
              <w:br/>
            </w:r>
          </w:p>
          <w:p w:rsidR="72431AC7" w:rsidP="01DA1EA0" w14:textId="338D9999">
            <w:r w:rsidRPr="01DA1EA0">
              <w:rPr>
                <w:rFonts w:ascii="Arial" w:hAnsi="Arial" w:cs="Arial"/>
                <w:sz w:val="22"/>
                <w:szCs w:val="22"/>
              </w:rPr>
              <w:t>Pg Diploma Biomedical Sciences Medical Microbiology with Professional Placement</w:t>
            </w:r>
          </w:p>
          <w:p w:rsidR="72431AC7" w:rsidP="01DA1EA0" w14:textId="02B6DE49"/>
          <w:p w:rsidR="72431AC7" w:rsidP="72431AC7" w14:textId="77777777">
            <w:pPr>
              <w:rPr>
                <w:rFonts w:ascii="Arial" w:hAnsi="Arial" w:cs="Arial"/>
                <w:i/>
                <w:iCs/>
                <w:sz w:val="22"/>
                <w:szCs w:val="22"/>
              </w:rPr>
            </w:pPr>
          </w:p>
        </w:tc>
      </w:tr>
      <w:tr w14:paraId="2A120393"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9"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Sciences Medical Microbiology with Management Studies</w:t>
            </w:r>
          </w:p>
          <w:p w:rsidR="72431AC7" w:rsidP="72431AC7" w14:textId="77777777">
            <w:pPr>
              <w:rPr>
                <w:rFonts w:ascii="Arial" w:hAnsi="Arial" w:cs="Arial"/>
                <w:sz w:val="22"/>
                <w:szCs w:val="22"/>
              </w:rPr>
            </w:pPr>
          </w:p>
        </w:tc>
      </w:tr>
      <w:tr w14:paraId="34BB979D"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Cert Biomedical Sciences Medical Microbiology with Management Studies</w:t>
            </w:r>
            <w:r>
              <w:br/>
            </w:r>
          </w:p>
          <w:p w:rsidR="72431AC7" w:rsidP="01DA1EA0" w14:textId="338D9999">
            <w:r w:rsidRPr="01DA1EA0">
              <w:rPr>
                <w:rFonts w:ascii="Arial" w:hAnsi="Arial" w:cs="Arial"/>
                <w:sz w:val="22"/>
                <w:szCs w:val="22"/>
              </w:rPr>
              <w:t>Pg Diploma Biomedical Sciences Medical Microbiology with Management Studies</w:t>
            </w:r>
          </w:p>
          <w:p w:rsidR="72431AC7" w:rsidP="01DA1EA0" w14:textId="02B6DE49"/>
          <w:p w:rsidR="72431AC7" w:rsidP="72431AC7" w14:textId="77777777">
            <w:pPr>
              <w:rPr>
                <w:rFonts w:ascii="Arial" w:hAnsi="Arial" w:cs="Arial"/>
                <w:i/>
                <w:iCs/>
                <w:sz w:val="22"/>
                <w:szCs w:val="22"/>
              </w:rPr>
            </w:pPr>
          </w:p>
        </w:tc>
      </w:tr>
      <w:tr w14:paraId="2A120394"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A"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00928A20" w:rsidP="01DA1EA0"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Award(s) and Title(s):</w:t>
            </w:r>
          </w:p>
          <w:p w:rsidR="72431AC7" w:rsidP="72431AC7"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textId="0DB103F2">
            <w:r w:rsidRPr="01DA1EA0">
              <w:rPr>
                <w:rFonts w:ascii="Arial" w:hAnsi="Arial" w:cs="Arial"/>
                <w:sz w:val="22"/>
                <w:szCs w:val="22"/>
              </w:rPr>
              <w:t>MSc</w:t>
            </w:r>
            <w:r w:rsidRPr="01DA1EA0">
              <w:rPr>
                <w:rFonts w:ascii="Arial" w:hAnsi="Arial" w:cs="Arial"/>
                <w:sz w:val="22"/>
                <w:szCs w:val="22"/>
              </w:rPr>
              <w:t xml:space="preserve"> </w:t>
            </w:r>
            <w:r w:rsidRPr="01DA1EA0">
              <w:rPr>
                <w:rFonts w:ascii="Arial" w:hAnsi="Arial" w:cs="Arial"/>
                <w:sz w:val="22"/>
                <w:szCs w:val="22"/>
              </w:rPr>
              <w:t>Biomedical Sciences Medical Microbiology with Management Studies with Professional Placement</w:t>
            </w:r>
          </w:p>
          <w:p w:rsidR="72431AC7" w:rsidP="72431AC7" w14:textId="77777777">
            <w:pPr>
              <w:rPr>
                <w:rFonts w:ascii="Arial" w:hAnsi="Arial" w:cs="Arial"/>
                <w:sz w:val="22"/>
                <w:szCs w:val="22"/>
              </w:rPr>
            </w:pPr>
          </w:p>
        </w:tc>
      </w:tr>
      <w:tr w14:paraId="34BB979E"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textId="5E090604">
            <w:r w:rsidRPr="01DA1EA0">
              <w:rPr>
                <w:rFonts w:ascii="Arial" w:hAnsi="Arial" w:cs="Arial"/>
                <w:sz w:val="22"/>
                <w:szCs w:val="22"/>
              </w:rPr>
              <w:t>Pg Cert Biomedical Sciences Medical Microbiology with Management Studies with Professional Placement</w:t>
            </w:r>
            <w:r>
              <w:br/>
            </w:r>
          </w:p>
          <w:p w:rsidR="72431AC7" w:rsidP="01DA1EA0" w14:textId="338D9999">
            <w:r w:rsidRPr="01DA1EA0">
              <w:rPr>
                <w:rFonts w:ascii="Arial" w:hAnsi="Arial" w:cs="Arial"/>
                <w:sz w:val="22"/>
                <w:szCs w:val="22"/>
              </w:rPr>
              <w:t>Pg Diploma Biomedical Sciences Medical Microbiology with Management Studies with Professional Placement</w:t>
            </w:r>
          </w:p>
          <w:p w:rsidR="72431AC7" w:rsidP="01DA1EA0" w14:textId="02B6DE49"/>
          <w:p w:rsidR="72431AC7" w:rsidP="72431AC7" w14:textId="77777777">
            <w:pPr>
              <w:rPr>
                <w:rFonts w:ascii="Arial" w:hAnsi="Arial" w:cs="Arial"/>
                <w:i/>
                <w:iCs/>
                <w:sz w:val="22"/>
                <w:szCs w:val="22"/>
              </w:rPr>
            </w:pPr>
          </w:p>
        </w:tc>
      </w:tr>
      <w:tr w14:paraId="2A120395" w14:textId="77777777" w:rsidTr="01DA1EA0">
        <w:tblPrEx>
          <w:tblW w:w="0" w:type="auto"/>
          <w:tblLook w:val="04A0"/>
        </w:tblPrEx>
        <w:tc>
          <w:tcPr>
            <w:tcW w:w="3186" w:type="dxa"/>
          </w:tcPr>
          <w:p w:rsidR="72431AC7" w:rsidP="72431AC7"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textId="01874922"/>
          <w:p w:rsidR="72431AC7" w:rsidP="01DA1EA0" w14:textId="7FB53094"/>
        </w:tc>
      </w:tr>
      <w:tr w14:paraId="78C565EB" w14:textId="77777777" w:rsidTr="01DA1EA0">
        <w:tblPrEx>
          <w:tblW w:w="0" w:type="auto"/>
          <w:tblLook w:val="04A0"/>
        </w:tblPrEx>
        <w:tc>
          <w:tcPr>
            <w:tcW w:w="3186" w:type="dxa"/>
          </w:tcPr>
          <w:p w:rsidR="00420254" w:rsidP="72431AC7"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textId="5E5181C9"/>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7: Master's Degree</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Penrhyn Road</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 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Lower second class honours degree and above or equivalent in Biomedical science or other related biology and medical science degrees will be considered on an individual basis. All applicants must demonstrate sufficient understanding of mammalian biology and immunology. Prior study of microbiology is strongly preferred.</w:t>
            </w:r>
          </w:p>
          <w:p w:rsidP="0BF386E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For international students: An </w:t>
            </w:r>
            <w:r>
              <w:rPr>
                <w:rStyle w:val="normaltextrun"/>
                <w:rFonts w:ascii="Arial" w:hAnsi="Arial" w:cs="Arial"/>
                <w:color w:val="000000"/>
                <w:sz w:val="22"/>
                <w:szCs w:val="22"/>
                <w:shd w:val="clear" w:color="auto" w:fill="FFFFFF"/>
              </w:rPr>
              <w:t>IELTS academic test in English with an overall score of 6.5, with no element below 6.0, or meet the scores listed on the </w:t>
            </w:r>
            <w:hyperlink r:id="rId9" w:history="1">
              <w:r>
                <w:rPr>
                  <w:rStyle w:val="normaltextrun"/>
                  <w:rFonts w:ascii="Arial" w:hAnsi="Arial" w:cs="Arial"/>
                  <w:color w:val="1072BE"/>
                  <w:sz w:val="22"/>
                  <w:szCs w:val="22"/>
                  <w:shd w:val="clear" w:color="auto" w:fill="FFFFFF"/>
                </w:rPr>
                <w:t>alternative online tests</w:t>
              </w:r>
            </w:hyperlink>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IBMS</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pStyle w:val="p"/>
              <w:spacing w:before="0" w:after="0"/>
              <w:ind w:left="0" w:right="0"/>
              <w:rPr>
                <w:rStyle w:val="normaltextrun"/>
                <w:rFonts w:ascii="Times New Roman" w:eastAsia="Times New Roman" w:hAnsi="Times New Roman" w:cs="Times New Roman"/>
                <w:color w:val="000000"/>
                <w:sz w:val="22"/>
                <w:szCs w:val="22"/>
                <w:shd w:val="clear" w:color="auto" w:fill="FFFFFF"/>
              </w:rPr>
            </w:pPr>
            <w:r>
              <w:rPr>
                <w:rStyle w:val="normaltextrun"/>
                <w:rFonts w:ascii="Arial" w:eastAsia="Arial" w:hAnsi="Arial" w:cs="Arial"/>
                <w:i/>
                <w:iCs/>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Heading3"/>
        <w:ind w:left="360"/>
        <w:outlineLvl w:val="2"/>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MSc Biomedical Science Medical Microbiology/with Professional Placement programme are;</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and extend beyond honours degree level students’ knowledge of topics in Biomedical Science,</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prepare students for employment, research, further study and lifelong learning by developing their intellectual, problem solving, practical and key (transferable) skills,</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produce graduates with a knowledge and skills base that allows pursuit of careers in a wide variety of work environments,</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encourage students to develop an informed, reflective and critically analytical approach to the subject of Biomedical Science,</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provide an education in the theoretical and applied aspects of pathology at cellular and systemic levels,</w:t>
      </w:r>
    </w:p>
    <w:p w:rsidRPr="007C4290" w:rsidP="00A92C9B">
      <w:pPr>
        <w:pStyle w:val="ListParagraph"/>
        <w:numPr>
          <w:ilvl w:val="0"/>
          <w:numId w:val="14"/>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convey an understanding of the theoretical and practical basis of modern molecular medicine,</w:t>
      </w:r>
    </w:p>
    <w:p w:rsidRPr="007C4290" w:rsidP="00A92C9B">
      <w:pPr>
        <w:pStyle w:val="ListParagraph"/>
        <w:numPr>
          <w:ilvl w:val="0"/>
          <w:numId w:val="15"/>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an awareness of organisational relationships and interdependencies between specialist disciplines within diagnostic pathology,</w:t>
      </w:r>
    </w:p>
    <w:p w:rsidRPr="007C4290" w:rsidP="00A92C9B">
      <w:pPr>
        <w:pStyle w:val="ListParagraph"/>
        <w:numPr>
          <w:ilvl w:val="0"/>
          <w:numId w:val="16"/>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in-depth study of  Medical Microbiology,</w:t>
      </w:r>
    </w:p>
    <w:p w:rsidRPr="007C4290" w:rsidP="00A92C9B">
      <w:pPr>
        <w:pStyle w:val="ListParagraph"/>
        <w:numPr>
          <w:ilvl w:val="0"/>
          <w:numId w:val="17"/>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convey an understanding of the molecular basis of immunological mechanisms,</w:t>
      </w:r>
    </w:p>
    <w:p w:rsidRPr="007C4290" w:rsidP="00A92C9B">
      <w:pPr>
        <w:pStyle w:val="ListParagraph"/>
        <w:numPr>
          <w:ilvl w:val="0"/>
          <w:numId w:val="18"/>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ability to source information and to understand and critically appraise a research paper or article, including an assessment of the experimental design and methods of statistical analysis,</w:t>
      </w:r>
    </w:p>
    <w:p w:rsidRPr="007C4290" w:rsidP="00A92C9B">
      <w:pPr>
        <w:pStyle w:val="ListParagraph"/>
        <w:numPr>
          <w:ilvl w:val="0"/>
          <w:numId w:val="19"/>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competence in the public presentation of scientific work,</w:t>
      </w:r>
    </w:p>
    <w:p w:rsidRPr="007C4290" w:rsidP="00A92C9B">
      <w:pPr>
        <w:pStyle w:val="ListParagraph"/>
        <w:numPr>
          <w:ilvl w:val="0"/>
          <w:numId w:val="20"/>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carry out a sustained piece of independent research work related to Medical Microbiology,</w:t>
      </w:r>
    </w:p>
    <w:p w:rsidRPr="007C4290" w:rsidP="00A92C9B">
      <w:pPr>
        <w:pStyle w:val="ListParagraph"/>
        <w:numPr>
          <w:ilvl w:val="0"/>
          <w:numId w:val="21"/>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develop the students’ research oriented practical and analytical skills,</w:t>
      </w:r>
    </w:p>
    <w:p w:rsidRPr="007C4290" w:rsidP="00A92C9B">
      <w:pPr>
        <w:pStyle w:val="ListParagraph"/>
        <w:numPr>
          <w:ilvl w:val="0"/>
          <w:numId w:val="2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to enable students to write an extended report on their research work.</w:t>
      </w:r>
    </w:p>
    <w:p w:rsidRPr="007C4290" w:rsidP="00A92C9B">
      <w:pPr>
        <w:pStyle w:val="ListParagraph"/>
        <w:numPr>
          <w:ilvl w:val="0"/>
          <w:numId w:val="2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Give students on the 2-year version an opportunity to develop further skills, preparing them for higher levels of employment!</w:t>
      </w:r>
    </w:p>
    <w:p w:rsidRPr="007C4290" w:rsidP="00A92C9B">
      <w:pPr>
        <w:pStyle w:val="Heading3"/>
        <w:ind w:left="360"/>
        <w:outlineLvl w:val="2"/>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z w:val="24"/>
          <w:szCs w:val="24"/>
          <w:shd w:val="clear" w:color="auto" w:fill="FFFFFF"/>
        </w:rPr>
        <w:t>MSc Biomedical Science Medical Microbiology with Management Studies/with Professional Placement programme are;</w:t>
      </w:r>
    </w:p>
    <w:p w:rsidRPr="007C4290" w:rsidP="00A92C9B">
      <w:pPr>
        <w:pStyle w:val="ListParagraph"/>
        <w:numPr>
          <w:ilvl w:val="0"/>
          <w:numId w:val="2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to prepare students for employment, research, further study and lifelong learning by developing their intellectual, problem solving, practical and key (transferable) skills</w:t>
      </w:r>
    </w:p>
    <w:p w:rsidRPr="007C4290" w:rsidP="00A92C9B">
      <w:pPr>
        <w:pStyle w:val="ListParagraph"/>
        <w:numPr>
          <w:ilvl w:val="0"/>
          <w:numId w:val="23"/>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 xml:space="preserve">to produce Masters graduates with a knowledge and skills base that allow pursuit of careers in a wide variety of work environments </w:t>
      </w:r>
    </w:p>
    <w:p w:rsidRPr="007C4290" w:rsidP="00A92C9B">
      <w:pPr>
        <w:pStyle w:val="ListParagraph"/>
        <w:numPr>
          <w:ilvl w:val="0"/>
          <w:numId w:val="24"/>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provide an education in the theoretical and applied aspects of pathology at cellular and systemic levels</w:t>
      </w:r>
    </w:p>
    <w:p w:rsidRPr="007C4290" w:rsidP="00A92C9B">
      <w:pPr>
        <w:pStyle w:val="ListParagraph"/>
        <w:numPr>
          <w:ilvl w:val="0"/>
          <w:numId w:val="25"/>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convey an understanding of the theoretical and practical basis of modern molecular medicine</w:t>
      </w:r>
    </w:p>
    <w:p w:rsidRPr="007C4290" w:rsidP="00A92C9B">
      <w:pPr>
        <w:pStyle w:val="ListParagraph"/>
        <w:numPr>
          <w:ilvl w:val="0"/>
          <w:numId w:val="2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an awareness of organisational relationships and interdependencies between specialist disciplines within diagnostic pathology</w:t>
      </w:r>
    </w:p>
    <w:p w:rsidRPr="007C4290" w:rsidP="00A92C9B">
      <w:pPr>
        <w:pStyle w:val="ListParagraph"/>
        <w:numPr>
          <w:ilvl w:val="0"/>
          <w:numId w:val="26"/>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convey an understanding of the molecular basis of immunological mechanisms</w:t>
      </w:r>
    </w:p>
    <w:p w:rsidRPr="007C4290" w:rsidP="00A92C9B">
      <w:pPr>
        <w:pStyle w:val="ListParagraph"/>
        <w:numPr>
          <w:ilvl w:val="0"/>
          <w:numId w:val="27"/>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the in depth study of  Medical Microbiology,</w:t>
      </w:r>
    </w:p>
    <w:p w:rsidRPr="007C4290" w:rsidP="00A92C9B">
      <w:pPr>
        <w:pStyle w:val="ListParagraph"/>
        <w:numPr>
          <w:ilvl w:val="0"/>
          <w:numId w:val="28"/>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the ability to source information and to understand and critically appraise a research paper or article, including an assessment of the experimental design and methods of statistical analysis,</w:t>
      </w:r>
    </w:p>
    <w:p w:rsidRPr="007C4290" w:rsidP="00A92C9B">
      <w:pPr>
        <w:pStyle w:val="ListParagraph"/>
        <w:numPr>
          <w:ilvl w:val="0"/>
          <w:numId w:val="29"/>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lang w:val="en-US" w:eastAsia="en-US"/>
        </w:rPr>
        <w:t>to enable students to carry out a sustained piece of independent research work related to Medical Microbiology</w:t>
      </w:r>
    </w:p>
    <w:p w:rsidRPr="007C4290" w:rsidP="00A92C9B">
      <w:pPr>
        <w:pStyle w:val="ListParagraph"/>
        <w:numPr>
          <w:ilvl w:val="0"/>
          <w:numId w:val="30"/>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lang w:val="en-US" w:eastAsia="en-US"/>
        </w:rPr>
        <w:t>to develop the students’ research oriented practical and analytical skills,</w:t>
      </w:r>
    </w:p>
    <w:p w:rsidRPr="007C4290" w:rsidP="00A92C9B">
      <w:pPr>
        <w:pStyle w:val="ListParagraph"/>
        <w:numPr>
          <w:ilvl w:val="0"/>
          <w:numId w:val="31"/>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lang w:val="en-US" w:eastAsia="en-US"/>
        </w:rPr>
        <w:t>to enable students to write an extended report on their research work</w:t>
      </w:r>
    </w:p>
    <w:p w:rsidRPr="007C4290" w:rsidP="00A92C9B">
      <w:pPr>
        <w:pStyle w:val="ListParagraph"/>
        <w:numPr>
          <w:ilvl w:val="0"/>
          <w:numId w:val="31"/>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 xml:space="preserve">to develop a wide range of management,  business and leadership/team skills appropriate for managers and entrepreneurs in complex business environments.  </w:t>
      </w:r>
    </w:p>
    <w:p w:rsidRPr="007C4290" w:rsidP="00A92C9B">
      <w:pPr>
        <w:pStyle w:val="ListParagraph"/>
        <w:numPr>
          <w:ilvl w:val="0"/>
          <w:numId w:val="31"/>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develop competence in the presentation of scientific work and business plans</w:t>
      </w:r>
    </w:p>
    <w:p w:rsidRPr="007C4290" w:rsidP="00A92C9B">
      <w:pPr>
        <w:pStyle w:val="ListParagraph"/>
        <w:numPr>
          <w:ilvl w:val="0"/>
          <w:numId w:val="31"/>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z w:val="24"/>
          <w:szCs w:val="24"/>
          <w:shd w:val="clear" w:color="auto" w:fill="FFFFFF"/>
        </w:rPr>
        <w:t>to encourage students to develop an informed, reflective and critically analytical approach to the subject of Biomedical Science and Management</w:t>
      </w:r>
    </w:p>
    <w:p w:rsidRPr="007C4290" w:rsidP="00A92C9B">
      <w:pPr>
        <w:pStyle w:val="ListParagraph"/>
        <w:numPr>
          <w:ilvl w:val="0"/>
          <w:numId w:val="31"/>
        </w:numPr>
        <w:ind w:left="720" w:hanging="360"/>
        <w:jc w:val="both"/>
        <w:rPr>
          <w:rStyle w:val="normaltextrun"/>
          <w:rFonts w:ascii="Arial" w:hAnsi="Arial" w:cs="Arial"/>
          <w:color w:val="000000" w:themeColor="text1"/>
          <w:shd w:val="clear" w:color="auto" w:fill="FFFFFF"/>
        </w:rPr>
      </w:pPr>
      <w:r w:rsidRPr="007C4290">
        <w:rPr>
          <w:rStyle w:val="normaltextrun"/>
          <w:rFonts w:ascii="Arial" w:hAnsi="Arial" w:cs="Arial"/>
          <w:color w:val="000000"/>
          <w:sz w:val="24"/>
          <w:szCs w:val="24"/>
          <w:shd w:val="clear" w:color="auto" w:fill="FFFFFF"/>
        </w:rPr>
        <w:t>to develop and extend beyond honours degree level students’ knowledge of topics in Biomedical Science and Management</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4"/>
          <w:szCs w:val="24"/>
          <w:shd w:val="clear" w:color="auto" w:fill="FFFFFF"/>
        </w:rPr>
        <w:t>The programme provides opportunities for students to develop and demonstrate knowledge and understanding, skills and other attributes in the areas noted in the table below. There are no QAA benchmarks for this subject at level 7, but the programme outcomes are referenced to the Framework for Higher Education Qualifications in England, Wales and Northern Ireland (2014), and the IBMS ‘Criteria and Requirements for the Accreditation and Re-accreditation of MSc Degrees in Biomedical Science’, and relate to the typical student.</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10">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1"/>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A10</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ethical implications of Biomedical Science research and Business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B9</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present their own research in a clear and concise fashion in writing and in scientific poster presentations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Evaluate a business plan and make a strategic analysis of a business environment</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 wide range of management,  business and leadership/team skills appropriate for managers and entrepreneurs in complex business environments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B6</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have the ability to apply independent judgement and original thought in a variety of contexts relevant to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competence in a range of practical and analytical techniques appropriate to Biomedical Science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range of career opportunities available within the field of Biomedical Sciences and Management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B7</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self management and autonomy in the planning, organisation and conduct of an independent research project;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presentation and interpretation of laboratory data</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statistical and computing techniques required to assess and present their own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B8</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to critically evaluate their own findings as well as those of others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new and/or improved practical skills and apply them in a research setting</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A9</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of objective scientific research</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B10</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capacity to challenge existing management practises and develop new approaches towards achieving business success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apply their subject specific knowledge to the planning, design and delivery of an experimental research project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A8</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increasingly important relationships between traditionally separate subjects within the broader field of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use their generic intellectual and key skills in their lifelong learning and future employment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C7</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Give clear account of how the skills and knowledge acquired during studies can be applied in a work-place environment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1"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A7</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practice of a range of topics within an elected specialist route (Haematology or Medical Microbiology)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assemble, interpret and critically evaluate information and data from a variety of sources (including academic literature)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understand, and be able to comply with, health and safety in the laboratory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2"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human immune system, its components and interactions at a molecular level and the relationships between the science of immunology  and the aetiology and diagnosis of disease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undertake the analysis and interpretation of experimental data</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C8</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skills in the evaluation, presentation and interpretation of entrepreneurial skills and demonstrate commercial awareness relevant to biomedical sciences and biotechnology</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3"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role of the pathology laboratory within the wider context of health care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the ability to learn independently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4"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applications of a range of molecular techniques relevant to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apply subject knowledge and understanding to the solving of problems in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5"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of constructive criticism in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6"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principles and practice of a variety of topics in Biomedical Science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7"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the biological basis of disease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This pr</w:t>
      </w:r>
      <w:r w:rsidRPr="66934EB1">
        <w:rPr>
          <w:rFonts w:ascii="Arial" w:eastAsia="Arial" w:hAnsi="Arial" w:cs="Arial"/>
          <w:color w:val="000000" w:themeColor="text1"/>
          <w:sz w:val="22"/>
          <w:szCs w:val="22"/>
        </w:rPr>
        <w:t xml:space="preserve">ogramme is offered in full-time or </w:t>
      </w:r>
      <w:r w:rsidRPr="66934EB1">
        <w:rPr>
          <w:rFonts w:ascii="Arial" w:eastAsia="Arial" w:hAnsi="Arial" w:cs="Arial"/>
          <w:color w:val="000000" w:themeColor="text1"/>
          <w:sz w:val="22"/>
          <w:szCs w:val="22"/>
        </w:rPr>
        <w:t>part-time</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mode, and leads to the award of </w:t>
      </w:r>
      <w:r w:rsidRPr="66934EB1">
        <w:rPr>
          <w:rFonts w:ascii="Arial" w:eastAsia="Arial" w:hAnsi="Arial" w:cs="Arial"/>
          <w:color w:val="000000" w:themeColor="text1"/>
          <w:sz w:val="22"/>
          <w:szCs w:val="22"/>
        </w:rPr>
        <w:t>MSc in Biomedical Science</w:t>
      </w:r>
      <w:r w:rsidRPr="66934EB1">
        <w:rPr>
          <w:rFonts w:ascii="Arial" w:eastAsia="Arial" w:hAnsi="Arial" w:cs="Arial"/>
          <w:color w:val="000000" w:themeColor="text1"/>
          <w:sz w:val="22"/>
          <w:szCs w:val="22"/>
        </w:rPr>
        <w:t xml:space="preserve"> with Management Studies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 xml:space="preserve">Entry is normally at </w:t>
      </w:r>
      <w:r w:rsidRPr="66934EB1">
        <w:rPr>
          <w:rFonts w:ascii="Arial" w:eastAsia="Arial" w:hAnsi="Arial" w:cs="Arial"/>
          <w:color w:val="000000" w:themeColor="text1"/>
          <w:sz w:val="22"/>
          <w:szCs w:val="22"/>
        </w:rPr>
        <w:t>L</w:t>
      </w:r>
      <w:r w:rsidRPr="66934EB1">
        <w:rPr>
          <w:rFonts w:ascii="Arial" w:eastAsia="Arial" w:hAnsi="Arial" w:cs="Arial"/>
          <w:color w:val="000000" w:themeColor="text1"/>
          <w:sz w:val="22"/>
          <w:szCs w:val="22"/>
        </w:rPr>
        <w:t xml:space="preserve">evel </w:t>
      </w:r>
      <w:r w:rsidRPr="66934EB1">
        <w:rPr>
          <w:rFonts w:ascii="Arial" w:eastAsia="Arial" w:hAnsi="Arial" w:cs="Arial"/>
          <w:color w:val="000000" w:themeColor="text1"/>
          <w:sz w:val="22"/>
          <w:szCs w:val="22"/>
        </w:rPr>
        <w:t>7</w:t>
      </w:r>
      <w:r w:rsidRPr="66934EB1">
        <w:rPr>
          <w:rFonts w:ascii="Arial" w:eastAsia="Arial" w:hAnsi="Arial" w:cs="Arial"/>
          <w:color w:val="000000" w:themeColor="text1"/>
          <w:sz w:val="22"/>
          <w:szCs w:val="22"/>
        </w:rPr>
        <w:t xml:space="preserve"> with </w:t>
      </w:r>
      <w:r w:rsidRPr="66934EB1">
        <w:rPr>
          <w:rFonts w:ascii="Arial" w:eastAsia="Arial" w:hAnsi="Arial" w:cs="Arial"/>
          <w:color w:val="000000" w:themeColor="text1"/>
          <w:sz w:val="22"/>
          <w:szCs w:val="22"/>
        </w:rPr>
        <w:t>BSc (Hons)</w:t>
      </w:r>
      <w:r w:rsidRPr="66934EB1">
        <w:rPr>
          <w:rFonts w:ascii="Arial" w:eastAsia="Arial" w:hAnsi="Arial" w:cs="Arial"/>
          <w:color w:val="000000" w:themeColor="text1"/>
          <w:sz w:val="22"/>
          <w:szCs w:val="22"/>
        </w:rPr>
        <w:t xml:space="preserve"> or equivalent qualifications</w:t>
      </w:r>
      <w:r w:rsidRPr="66934EB1">
        <w:rPr>
          <w:rFonts w:ascii="Arial" w:eastAsia="Arial" w:hAnsi="Arial" w:cs="Arial"/>
          <w:color w:val="000000" w:themeColor="text1"/>
          <w:sz w:val="22"/>
          <w:szCs w:val="22"/>
        </w:rPr>
        <w:t xml:space="preserve"> (See section D). </w:t>
      </w:r>
      <w:r w:rsidRPr="66934EB1">
        <w:rPr>
          <w:rFonts w:ascii="Arial" w:eastAsia="Arial" w:hAnsi="Arial" w:cs="Arial"/>
          <w:color w:val="000000" w:themeColor="text1"/>
          <w:sz w:val="22"/>
          <w:szCs w:val="22"/>
        </w:rPr>
        <w:t xml:space="preserve">Intake is normally in September. </w:t>
      </w:r>
      <w:r w:rsidRPr="66934EB1">
        <w:rPr>
          <w:rFonts w:ascii="Arial" w:eastAsia="Arial" w:hAnsi="Arial" w:cs="Arial"/>
          <w:i/>
          <w:iCs/>
          <w:color w:val="000000" w:themeColor="text1"/>
          <w:sz w:val="22"/>
          <w:szCs w:val="22"/>
        </w:rPr>
        <w:t> </w:t>
      </w:r>
    </w:p>
    <w:p w:rsidRPr="66934EB1" w:rsidP="66934EB1">
      <w:pPr>
        <w:jc w:val="both"/>
        <w:rPr>
          <w:rFonts w:ascii="Arial" w:eastAsia="Arial" w:hAnsi="Arial" w:cs="Arial"/>
          <w:color w:val="000000" w:themeColor="text1"/>
          <w:sz w:val="22"/>
          <w:szCs w:val="22"/>
        </w:rPr>
      </w:pPr>
      <w:r w:rsidRPr="66934EB1">
        <w:rPr>
          <w:rFonts w:ascii="Arial" w:eastAsia="Arial" w:hAnsi="Arial" w:cs="Arial"/>
          <w:color w:val="000000" w:themeColor="text1"/>
          <w:sz w:val="22"/>
          <w:szCs w:val="22"/>
        </w:rPr>
        <w:t>Each level is made up of four modules each worth 30 credit points</w:t>
      </w:r>
      <w:r w:rsidRPr="66934EB1">
        <w:rPr>
          <w:rFonts w:ascii="Arial" w:eastAsia="Arial" w:hAnsi="Arial" w:cs="Arial"/>
          <w:color w:val="000000" w:themeColor="text1"/>
          <w:sz w:val="22"/>
          <w:szCs w:val="22"/>
        </w:rPr>
        <w:t xml:space="preserve"> and a summer research project module worth 60 credit points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r w:rsidRPr="66934EB1">
        <w:rPr>
          <w:rFonts w:ascii="Arial" w:eastAsia="Arial" w:hAnsi="Arial" w:cs="Arial"/>
          <w:color w:val="000000" w:themeColor="text1"/>
          <w:sz w:val="22"/>
          <w:szCs w:val="22"/>
        </w:rPr>
        <w:t>All students will be provided with the University regulations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and </w:t>
      </w:r>
      <w:r w:rsidRPr="66934EB1">
        <w:rPr>
          <w:rFonts w:ascii="Arial" w:eastAsia="Arial" w:hAnsi="Arial" w:cs="Arial"/>
          <w:color w:val="000000" w:themeColor="text1"/>
          <w:sz w:val="22"/>
          <w:szCs w:val="22"/>
        </w:rPr>
        <w:t>f</w:t>
      </w:r>
      <w:r w:rsidRPr="66934EB1">
        <w:rPr>
          <w:rFonts w:ascii="Arial" w:eastAsia="Arial" w:hAnsi="Arial" w:cs="Arial"/>
          <w:color w:val="000000" w:themeColor="text1"/>
          <w:sz w:val="22"/>
          <w:szCs w:val="22"/>
        </w:rPr>
        <w:t>ull details of each module will be provided in module descriptors and student module guides</w:t>
      </w:r>
      <w:r w:rsidRPr="66934EB1">
        <w:rPr>
          <w:rFonts w:ascii="Arial" w:eastAsia="Arial" w:hAnsi="Arial" w:cs="Arial"/>
          <w:color w:val="000000" w:themeColor="text1"/>
          <w:sz w:val="22"/>
          <w:szCs w:val="22"/>
        </w:rPr>
        <w:t>.</w:t>
      </w:r>
      <w:r w:rsidRPr="66934EB1">
        <w:rPr>
          <w:rFonts w:ascii="Arial" w:eastAsia="Arial" w:hAnsi="Arial" w:cs="Arial"/>
          <w:color w:val="000000" w:themeColor="text1"/>
          <w:sz w:val="22"/>
          <w:szCs w:val="22"/>
        </w:rPr>
        <w:t xml:space="preserve">  </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 Medical Microbiology</w:t>
      </w:r>
    </w:p>
    <w:p w:rsidR="008B5CAF" w:rsidRPr="008B5CAF" w:rsidP="008B5CAF" w14:paraId="22073769" w14:textId="77777777">
      <w:pPr>
        <w:rPr>
          <w:rFonts w:eastAsia="Arial"/>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 Medical Microbiology</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r w:rsidRPr="35BBDED8">
              <w:rPr>
                <w:rFonts w:ascii="Arial" w:eastAsia="Arial" w:hAnsi="Arial" w:cs="Arial"/>
                <w:sz w:val="20"/>
                <w:szCs w:val="20"/>
              </w:rPr>
              <w:t>a,b</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a</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a</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r w14:paraId="21361E9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F842BDD" w14:textId="6D42EEE4">
            <w:pPr>
              <w:rPr>
                <w:rFonts w:ascii="Arial" w:eastAsia="Arial" w:hAnsi="Arial" w:cs="Arial"/>
                <w:sz w:val="20"/>
                <w:szCs w:val="20"/>
              </w:rPr>
            </w:pPr>
            <w:r w:rsidRPr="0A9EC5E3">
              <w:rPr>
                <w:rFonts w:ascii="Arial" w:eastAsia="Arial" w:hAnsi="Arial" w:cs="Arial"/>
                <w:sz w:val="20"/>
                <w:szCs w:val="20"/>
              </w:rPr>
              <w:t>Microbial pathogenesis and control of infectious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BC3B1EF" w14:textId="00AB1C58">
            <w:pPr>
              <w:jc w:val="center"/>
              <w:rPr>
                <w:rFonts w:ascii="Arial" w:eastAsia="Arial" w:hAnsi="Arial" w:cs="Arial"/>
                <w:sz w:val="20"/>
                <w:szCs w:val="20"/>
              </w:rPr>
            </w:pPr>
            <w:r w:rsidRPr="66934EB1">
              <w:rPr>
                <w:rFonts w:ascii="Arial" w:eastAsia="Arial" w:hAnsi="Arial" w:cs="Arial"/>
                <w:sz w:val="20"/>
                <w:szCs w:val="20"/>
              </w:rPr>
              <w:t>LS7004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05ABF2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A0310B5"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8700E5A" w14:textId="5322C181">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paraId="1BB382FC" w14:textId="34924860">
            <w:pPr>
              <w:jc w:val="center"/>
              <w:rPr>
                <w:rFonts w:ascii="Arial" w:eastAsia="Arial" w:hAnsi="Arial" w:cs="Arial"/>
                <w:sz w:val="20"/>
                <w:szCs w:val="20"/>
              </w:rPr>
            </w:pPr>
            <w:r w:rsidRPr="35BBDED8">
              <w:rPr>
                <w:rFonts w:ascii="Arial" w:eastAsia="Arial" w:hAnsi="Arial" w:cs="Arial"/>
                <w:sz w:val="20"/>
                <w:szCs w:val="20"/>
              </w:rPr>
              <w:t>a,c</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2FD2BF9"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FB572B5" w14:textId="1D94CAEC">
            <w:pPr>
              <w:jc w:val="center"/>
              <w:rPr>
                <w:rFonts w:ascii="Arial" w:eastAsia="Arial" w:hAnsi="Arial" w:cs="Arial"/>
                <w:sz w:val="20"/>
                <w:szCs w:val="20"/>
              </w:rPr>
            </w:pPr>
          </w:p>
        </w:tc>
      </w:tr>
      <w:tr w14:paraId="21361EA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Taxonomy of microorganisms and diagnosis of infectious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LS7003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1 and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r w:rsidRPr="35BBDED8">
              <w:rPr>
                <w:rFonts w:ascii="Arial" w:eastAsia="Arial" w:hAnsi="Arial" w:cs="Arial"/>
                <w:sz w:val="20"/>
                <w:szCs w:val="20"/>
              </w:rPr>
              <w:t>a,c</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Sciences Medical Microbiology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0"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C"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Sciences Medical Microbiology with Professional Placement</w:t>
            </w:r>
          </w:p>
        </w:tc>
      </w:tr>
      <w:tr w14:paraId="17F545E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0"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Microbial pathogenesis and control of infectious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LS7004</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2"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Taxonomy of microorganisms and diagnosis of infectious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r w14:paraId="21361EA1"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6D42EEE4">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0AB1C58">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3A50777">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F263806">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22C181">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35BBDED8" w14:textId="34924860">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BEAA7D7">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1D94CAEC">
            <w:pPr>
              <w:jc w:val="center"/>
              <w:rPr>
                <w:rFonts w:ascii="Arial" w:eastAsia="Arial" w:hAnsi="Arial" w:cs="Arial"/>
                <w:sz w:val="20"/>
                <w:szCs w:val="20"/>
              </w:rPr>
            </w:pPr>
            <w:r w:rsidRPr="66934EB1">
              <w:rPr>
                <w:rFonts w:ascii="Arial" w:eastAsia="Arial" w:hAnsi="Arial" w:cs="Arial"/>
                <w:sz w:val="20"/>
                <w:szCs w:val="20"/>
              </w:rPr>
              <w:t>2</w:t>
            </w:r>
          </w:p>
        </w:tc>
      </w:tr>
    </w:tbl>
    <w:p w:rsidR="66934EB1" w:rsidP="66934EB1"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Full time students attend two days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Part time students attend one day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 xml:space="preserve">Biomedical Science </w:t>
      </w:r>
      <w:r w:rsidRPr="66934EB1">
        <w:rPr>
          <w:rStyle w:val="normaltextrun"/>
          <w:rFonts w:ascii="Arial" w:eastAsia="Arial" w:hAnsi="Arial" w:cs="Arial"/>
          <w:color w:val="000000"/>
          <w:sz w:val="24"/>
          <w:szCs w:val="24"/>
        </w:rPr>
        <w:t>Medical Microbiology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Medical Microbiology</w:t>
      </w:r>
    </w:p>
    <w:p w:rsidR="035B6837" w:rsidP="66934EB1" w14:textId="4B9BAAF3">
      <w:pPr>
        <w:rPr>
          <w:rFonts w:ascii="Arial" w:eastAsia="Arial" w:hAnsi="Arial" w:cs="Arial"/>
          <w:color w:val="000000" w:themeColor="text1"/>
          <w:sz w:val="20"/>
          <w:szCs w:val="20"/>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Sciences Medical Microbiology with Management Studies</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1"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D"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Sciences Medical Microbiology with Management Studies</w:t>
            </w:r>
          </w:p>
        </w:tc>
      </w:tr>
      <w:tr w14:paraId="17F545E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4"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7"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8"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Taxonomy of microorganisms and diagnosis of infectious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5"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66934EB1" w:rsidRPr="00D92363" w:rsidP="66934EB1" w14:textId="01ADAC37">
      <w:pPr>
        <w:rPr>
          <w:rFonts w:ascii="Arial" w:eastAsia="Arial" w:hAnsi="Arial" w:cs="Arial"/>
          <w:color w:val="FF0000"/>
        </w:rPr>
      </w:pPr>
    </w:p>
    <w:p w:rsidR="66934EB1" w:rsidP="00D92363" w14:textId="1D889677">
      <w:pPr>
        <w:pStyle w:val="Heading2"/>
        <w:rPr>
          <w:rFonts w:ascii="Calibri Light" w:eastAsia="Calibri Light" w:hAnsi="Calibri Light" w:cs="Calibri Light"/>
        </w:rPr>
      </w:pPr>
      <w:r w:rsidRPr="66934EB1">
        <w:rPr>
          <w:rFonts w:ascii="Calibri Light" w:eastAsia="Calibri Light" w:hAnsi="Calibri Light" w:cs="Calibri Light"/>
        </w:rPr>
        <w:t>MSc</w:t>
      </w:r>
      <w:r w:rsidRPr="66934EB1">
        <w:rPr>
          <w:rFonts w:ascii="Calibri Light" w:eastAsia="Calibri Light" w:hAnsi="Calibri Light" w:cs="Calibri Light"/>
        </w:rPr>
        <w:t xml:space="preserve"> </w:t>
      </w:r>
      <w:r w:rsidRPr="66934EB1">
        <w:rPr>
          <w:rFonts w:ascii="Calibri Light" w:eastAsia="Calibri Light" w:hAnsi="Calibri Light" w:cs="Calibri Light"/>
        </w:rPr>
        <w:t>Biomedical Sciences Medical Microbiology with Management Studies with Professional Placement</w:t>
      </w:r>
    </w:p>
    <w:p w:rsidR="008B5CAF" w:rsidRPr="008B5CAF" w:rsidP="008B5CAF" w14:textId="77777777">
      <w:pPr>
        <w:rPr>
          <w:rFonts w:eastAsia="Arial"/>
        </w:rPr>
      </w:pPr>
    </w:p>
    <w:p w:rsidR="035B6837" w:rsidP="0A9EC5E3"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82"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DED4979">
            <w:pPr>
              <w:rPr>
                <w:rFonts w:ascii="Arial" w:eastAsia="Arial" w:hAnsi="Arial" w:cs="Arial"/>
              </w:rPr>
            </w:pPr>
            <w:r w:rsidRPr="66934EB1">
              <w:rPr>
                <w:rFonts w:ascii="Arial" w:eastAsia="Arial" w:hAnsi="Arial" w:cs="Arial"/>
                <w:b/>
                <w:bCs/>
              </w:rPr>
              <w:t>Level 7</w:t>
            </w:r>
          </w:p>
        </w:tc>
      </w:tr>
      <w:tr w14:paraId="139AD8FE"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4AD99BB">
            <w:pPr>
              <w:rPr>
                <w:rFonts w:ascii="Arial" w:eastAsia="Arial" w:hAnsi="Arial" w:cs="Arial"/>
              </w:rPr>
            </w:pPr>
            <w:r w:rsidRPr="66934EB1">
              <w:rPr>
                <w:rFonts w:ascii="Arial" w:eastAsia="Arial" w:hAnsi="Arial" w:cs="Arial"/>
                <w:b/>
                <w:bCs/>
              </w:rPr>
              <w:t>MSc</w:t>
            </w:r>
            <w:r w:rsidRPr="66934EB1">
              <w:rPr>
                <w:rFonts w:ascii="Arial" w:eastAsia="Arial" w:hAnsi="Arial" w:cs="Arial"/>
                <w:b/>
                <w:bCs/>
              </w:rPr>
              <w:t xml:space="preserve"> </w:t>
            </w:r>
            <w:r w:rsidRPr="66934EB1">
              <w:rPr>
                <w:rFonts w:ascii="Arial" w:eastAsia="Arial" w:hAnsi="Arial" w:cs="Arial"/>
                <w:b/>
                <w:bCs/>
              </w:rPr>
              <w:t>Biomedical Sciences Medical Microbiology with Management Studies with Professional Placement</w:t>
            </w:r>
          </w:p>
        </w:tc>
      </w:tr>
      <w:tr w14:paraId="17F545E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29"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Business in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CI7600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A"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Immunology and the Biology of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CH7900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Year long</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2</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0955DF2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LS7010</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Research Techniques &amp; Scientific Communication</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0955DF2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Taxonomy of microorganisms and diagnosis of infectious disease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LS7003</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1</w:t>
            </w:r>
          </w:p>
        </w:tc>
      </w:tr>
      <w:tr w14:paraId="672489F6"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694F06F4">
            <w:pPr>
              <w:jc w:val="center"/>
              <w:rPr>
                <w:rFonts w:ascii="Arial" w:eastAsia="Arial" w:hAnsi="Arial" w:cs="Arial"/>
                <w:sz w:val="20"/>
                <w:szCs w:val="20"/>
              </w:rPr>
            </w:pPr>
          </w:p>
        </w:tc>
      </w:tr>
    </w:tbl>
    <w:p w:rsidR="66934EB1" w:rsidP="66934EB1" w14:textId="63892D70">
      <w:pPr>
        <w:rPr>
          <w:rFonts w:ascii="Arial" w:eastAsia="Arial" w:hAnsi="Arial" w:cs="Arial"/>
          <w:color w:val="000000" w:themeColor="text1"/>
        </w:rPr>
      </w:pPr>
    </w:p>
    <w:p w:rsidR="035B6837" w:rsidP="66934EB1" w14:textId="58B780C8">
      <w:pPr>
        <w:rPr>
          <w:rFonts w:ascii="Arial" w:eastAsia="Arial" w:hAnsi="Arial" w:cs="Arial"/>
          <w:color w:val="FF0000"/>
          <w:sz w:val="20"/>
          <w:szCs w:val="20"/>
        </w:rPr>
      </w:pPr>
    </w:p>
    <w:p w:rsidR="035B6837" w:rsidP="66934EB1"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textId="4BC9AF03">
      <w:pPr>
        <w:rPr>
          <w:rFonts w:ascii="Arial" w:eastAsia="Arial" w:hAnsi="Arial" w:cs="Arial"/>
          <w:color w:val="0070C0"/>
          <w:sz w:val="22"/>
          <w:szCs w:val="22"/>
        </w:rPr>
      </w:pPr>
    </w:p>
    <w:p w:rsidRPr="66934EB1" w:rsidP="66934EB1"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Full time students attend two days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Part time students attend one day per week</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 xml:space="preserve">Biomedical Science </w:t>
      </w:r>
      <w:r w:rsidRPr="66934EB1">
        <w:rPr>
          <w:rStyle w:val="normaltextrun"/>
          <w:rFonts w:ascii="Arial" w:eastAsia="Arial" w:hAnsi="Arial" w:cs="Arial"/>
          <w:color w:val="000000"/>
          <w:sz w:val="24"/>
          <w:szCs w:val="24"/>
        </w:rPr>
        <w:t>Medical Microbiology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Medical Microbiology</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60 level 7 credits are eligible for the award of PgCert in </w:t>
      </w:r>
      <w:r w:rsidRPr="66934EB1">
        <w:rPr>
          <w:rStyle w:val="normaltextrun"/>
          <w:rFonts w:ascii="Arial" w:eastAsia="Arial" w:hAnsi="Arial" w:cs="Arial"/>
          <w:color w:val="000000"/>
          <w:sz w:val="24"/>
          <w:szCs w:val="24"/>
        </w:rPr>
        <w:t>Biomedical Science Medical Microbiology with Management Studies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4"/>
          <w:szCs w:val="24"/>
        </w:rPr>
        <w:t xml:space="preserve">Students exiting the programme with 120 level 7 credits are eligible for the award of PgDip in </w:t>
      </w:r>
      <w:r w:rsidRPr="66934EB1">
        <w:rPr>
          <w:rStyle w:val="normaltextrun"/>
          <w:rFonts w:ascii="Arial" w:eastAsia="Arial" w:hAnsi="Arial" w:cs="Arial"/>
          <w:color w:val="000000"/>
          <w:sz w:val="24"/>
          <w:szCs w:val="24"/>
        </w:rPr>
        <w:t>Biomedical Science Medical Microbiology with Management Studies</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sz w:val="22"/>
          <w:szCs w:val="22"/>
        </w:rPr>
        <w:t>Students on the MSc in Biomedical Science with Management Studies (</w:t>
      </w:r>
      <w:r w:rsidRPr="503DC450">
        <w:rPr>
          <w:rFonts w:ascii="Arial" w:hAnsi="Arial" w:cs="Arial"/>
          <w:sz w:val="24"/>
          <w:szCs w:val="24"/>
        </w:rPr>
        <w:t xml:space="preserve">with Professional Placement </w:t>
      </w:r>
      <w:r w:rsidRPr="503DC450">
        <w:rPr>
          <w:rFonts w:ascii="Arial" w:hAnsi="Arial" w:cs="Arial"/>
          <w:sz w:val="22"/>
          <w:szCs w:val="22"/>
        </w:rPr>
        <w:t>) </w:t>
      </w:r>
      <w:r w:rsidRPr="503DC450">
        <w:rPr>
          <w:rFonts w:ascii="Arial" w:hAnsi="Arial" w:cs="Arial"/>
          <w:sz w:val="22"/>
          <w:szCs w:val="22"/>
        </w:rPr>
        <w:t>come from a wide variety of backgrounds (e.g. recent graduates from Kingston, recent graduates from other UK institutions, those returning to study after a break, overseas students), and all are likely to find the programme challenging for different reasons. These individual challenges, coupled with the higher demands of a postgraduate programme that is completed within 12 months, guide our teaching and assessment which are designed to ensure that students are given the best opportunity to learn effectively.</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 Research Project, which comprises one third of the programme, is designed as a ‘capstone’ project, and aims to give students the opportunity to use and synthesise the knowledge and skills they have acquired during their degree e</w:t>
      </w:r>
      <w:r w:rsidRPr="503DC450">
        <w:rPr>
          <w:rFonts w:ascii="Arial" w:hAnsi="Arial" w:cs="Arial"/>
          <w:sz w:val="22"/>
          <w:szCs w:val="22"/>
        </w:rPr>
        <w:t xml:space="preserve">.g. by using </w:t>
      </w:r>
      <w:r w:rsidRPr="503DC450">
        <w:rPr>
          <w:rFonts w:ascii="Arial" w:hAnsi="Arial" w:cs="Arial"/>
          <w:sz w:val="22"/>
          <w:szCs w:val="22"/>
        </w:rPr>
        <w:t>applied</w:t>
      </w:r>
      <w:r w:rsidRPr="503DC450">
        <w:rPr>
          <w:rFonts w:ascii="Arial" w:hAnsi="Arial" w:cs="Arial"/>
          <w:sz w:val="22"/>
          <w:szCs w:val="22"/>
        </w:rPr>
        <w:t xml:space="preserve"> “real world learning” (such as working on a live project for an employer), presenting work in formats appropriate to wider audiences, practice new and/or improved laboratory skills, and - most importantly - demonstrate the ability to independently solve complex problems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There are four Curriculum Design Principles, and these are linked to the teaching, learning and assessment strategies for the programme (see section C of this document) as follows:</w:t>
      </w:r>
    </w:p>
    <w:p w:rsidRPr="503DC450" w:rsidP="007D20BC">
      <w:pPr>
        <w:jc w:val="both"/>
        <w:rPr>
          <w:rFonts w:ascii="Arial" w:hAnsi="Arial" w:cs="Arial"/>
          <w:sz w:val="22"/>
          <w:szCs w:val="22"/>
        </w:rPr>
      </w:pPr>
      <w:r w:rsidRPr="503DC450">
        <w:rPr>
          <w:rFonts w:ascii="Arial" w:hAnsi="Arial" w:cs="Arial"/>
          <w:sz w:val="22"/>
          <w:szCs w:val="22"/>
        </w:rPr>
        <w:t> </w:t>
      </w:r>
    </w:p>
    <w:p w:rsidRPr="503DC450" w:rsidP="007D20BC">
      <w:pPr>
        <w:numPr>
          <w:ilvl w:val="0"/>
          <w:numId w:val="32"/>
        </w:numPr>
        <w:ind w:left="720" w:right="0" w:hanging="360"/>
        <w:jc w:val="both"/>
        <w:rPr>
          <w:rFonts w:ascii="Arial" w:hAnsi="Arial" w:cs="Arial"/>
          <w:sz w:val="22"/>
          <w:szCs w:val="22"/>
        </w:rPr>
      </w:pPr>
      <w:r w:rsidRPr="503DC450">
        <w:rPr>
          <w:rFonts w:ascii="Arial" w:hAnsi="Arial" w:cs="Arial"/>
          <w:sz w:val="22"/>
          <w:szCs w:val="22"/>
        </w:rPr>
        <w:t>Assessment for learning designed at programme level with opportunities for feedback and ‘feedforward’ explicitly specified at the design stage</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All assessments have been designed at level 7; students are encouraged to reflect on the link between intended learning outcomes and the requirements for each assessment, and ensure that they understand how they can meet these. Examples of this are the practical report in LS7004 (Microbial pathogenesis and control of infectious disease) which is formatively assessed two weeks before final submission, and the peer-assessed practice exam question in LS7005 (Anaemia, haemostasis and blood transfusion)</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Students will received feedback on all assessments; this will take a variety of forms and may be individual, group or generic and may be provided by teaching staff, peers (fellow students) or visiting experts.</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Feedback will enable the students to learn from each assessment experience and feedforward that learning to future assessments, most critically to the final assessments in the summer Research Project module. The ‘Research proposal’ assessment in LS7001 (Research techniques and scientific communication) is designed to prepare students for their Research Project by allowing them to consider preparatory aspects of their research such as; the generation of a suitable hypothesis, correct experimental design to test this hypothesis, ethical considerations, health and safety.</w:t>
      </w:r>
    </w:p>
    <w:p w:rsidRPr="503DC450" w:rsidP="007D20BC">
      <w:pPr>
        <w:numPr>
          <w:ilvl w:val="0"/>
          <w:numId w:val="32"/>
        </w:numPr>
        <w:ind w:left="720" w:right="0" w:hanging="360"/>
        <w:jc w:val="both"/>
        <w:rPr>
          <w:rFonts w:ascii="Arial" w:hAnsi="Arial" w:cs="Arial"/>
          <w:sz w:val="22"/>
          <w:szCs w:val="22"/>
        </w:rPr>
      </w:pPr>
      <w:r w:rsidRPr="503DC450">
        <w:rPr>
          <w:rFonts w:ascii="Arial" w:hAnsi="Arial" w:cs="Arial"/>
          <w:sz w:val="22"/>
          <w:szCs w:val="22"/>
        </w:rPr>
        <w:t>Research-led and research informed teaching with increased opportunities for postgraduate research and capstone projects</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The Curriculum content is heavily research-led and research informed.</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Modules incorporate opportunities to explore current developments in the field.</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Teaching teams draw on the academic strengths and research interests of staff.</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 xml:space="preserve">Students complete their MSc by conducting a research project. </w:t>
      </w:r>
    </w:p>
    <w:p w:rsidRPr="503DC450" w:rsidP="007D20BC">
      <w:pPr>
        <w:numPr>
          <w:ilvl w:val="0"/>
          <w:numId w:val="32"/>
        </w:numPr>
        <w:ind w:left="720" w:right="0" w:hanging="360"/>
        <w:jc w:val="both"/>
        <w:rPr>
          <w:rFonts w:ascii="Arial" w:hAnsi="Arial" w:cs="Arial"/>
          <w:sz w:val="22"/>
          <w:szCs w:val="22"/>
        </w:rPr>
      </w:pPr>
      <w:r w:rsidRPr="503DC450">
        <w:rPr>
          <w:rFonts w:ascii="Arial" w:hAnsi="Arial" w:cs="Arial"/>
          <w:sz w:val="22"/>
          <w:szCs w:val="22"/>
        </w:rPr>
        <w:t>A robust, academically-led personal tutor system which helps to personalize students’ experience and track their academic development (see section G below)</w:t>
      </w:r>
    </w:p>
    <w:p w:rsidRPr="503DC450" w:rsidP="007D20BC">
      <w:pPr>
        <w:numPr>
          <w:ilvl w:val="0"/>
          <w:numId w:val="32"/>
        </w:numPr>
        <w:ind w:left="720" w:right="0" w:hanging="360"/>
        <w:jc w:val="both"/>
        <w:rPr>
          <w:rFonts w:ascii="Arial" w:hAnsi="Arial" w:cs="Arial"/>
          <w:sz w:val="22"/>
          <w:szCs w:val="22"/>
        </w:rPr>
      </w:pPr>
      <w:r w:rsidRPr="503DC450">
        <w:rPr>
          <w:rFonts w:ascii="Arial" w:hAnsi="Arial" w:cs="Arial"/>
          <w:sz w:val="22"/>
          <w:szCs w:val="22"/>
        </w:rPr>
        <w:t>An embedded employability curriculum at discipline level and explicit links to the co-curriculum;</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 xml:space="preserve">Employability skills are embedded into several modules, including ‘applying for funding’ (LS7001), and ‘industry specific recruitment information’ (e.g. from external expert practitioner lecturers in specialist option modules – see section E3 of this document), </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Communication skills (‘presenting your published work’) are emphasized in all modules in a variety of media, including written, oral and poster presentations.</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Key laboratory-based skills are included in the taught modules and in the independent research projects, for which students may have an opportunity to take up a placement outside Kingston University.</w:t>
      </w:r>
    </w:p>
    <w:p w:rsidRPr="503DC450" w:rsidP="007D20BC">
      <w:pPr>
        <w:numPr>
          <w:ilvl w:val="1"/>
          <w:numId w:val="32"/>
        </w:numPr>
        <w:ind w:left="1440" w:right="0" w:hanging="360"/>
        <w:jc w:val="both"/>
        <w:rPr>
          <w:rFonts w:ascii="Arial" w:hAnsi="Arial" w:cs="Arial"/>
          <w:sz w:val="22"/>
          <w:szCs w:val="22"/>
        </w:rPr>
      </w:pPr>
      <w:r w:rsidRPr="503DC450">
        <w:rPr>
          <w:rFonts w:ascii="Arial" w:hAnsi="Arial" w:cs="Arial"/>
          <w:sz w:val="22"/>
          <w:szCs w:val="22"/>
        </w:rPr>
        <w:t> </w:t>
      </w:r>
      <w:r w:rsidRPr="503DC450">
        <w:rPr>
          <w:rFonts w:ascii="Arial" w:hAnsi="Arial" w:cs="Arial"/>
          <w:sz w:val="22"/>
          <w:szCs w:val="22"/>
        </w:rPr>
        <w:t>Specialist visiting</w:t>
      </w:r>
      <w:r w:rsidRPr="503DC450">
        <w:rPr>
          <w:rFonts w:ascii="Arial" w:hAnsi="Arial" w:cs="Arial"/>
          <w:sz w:val="22"/>
          <w:szCs w:val="22"/>
        </w:rPr>
        <w:t xml:space="preserve">  </w:t>
      </w:r>
      <w:r w:rsidRPr="503DC450">
        <w:rPr>
          <w:rFonts w:ascii="Arial" w:hAnsi="Arial" w:cs="Arial"/>
          <w:sz w:val="22"/>
          <w:szCs w:val="22"/>
        </w:rPr>
        <w:t>lecturers from Industry, the Health Service and</w:t>
      </w:r>
      <w:r w:rsidRPr="503DC450">
        <w:rPr>
          <w:rFonts w:ascii="Arial" w:hAnsi="Arial" w:cs="Arial"/>
          <w:sz w:val="22"/>
          <w:szCs w:val="22"/>
        </w:rPr>
        <w:t xml:space="preserve">  </w:t>
      </w:r>
      <w:r w:rsidRPr="503DC450">
        <w:rPr>
          <w:rFonts w:ascii="Arial" w:hAnsi="Arial" w:cs="Arial"/>
          <w:sz w:val="22"/>
          <w:szCs w:val="22"/>
        </w:rPr>
        <w:t xml:space="preserve">research organisations and also visits to these organisations provide great insight into </w:t>
      </w:r>
      <w:r w:rsidRPr="503DC450">
        <w:rPr>
          <w:rFonts w:ascii="Arial" w:hAnsi="Arial" w:cs="Arial"/>
          <w:sz w:val="22"/>
          <w:szCs w:val="22"/>
        </w:rPr>
        <w:t xml:space="preserve">employability skills </w:t>
      </w:r>
    </w:p>
    <w:p w:rsidRPr="503DC450" w:rsidP="007D20BC">
      <w:pPr>
        <w:rPr>
          <w:rFonts w:ascii="Arial" w:hAnsi="Arial" w:cs="Arial"/>
          <w:sz w:val="22"/>
          <w:szCs w:val="22"/>
        </w:rPr>
      </w:pPr>
      <w:r w:rsidRPr="503DC450">
        <w:rPr>
          <w:rFonts w:ascii="Arial" w:hAnsi="Arial" w:cs="Arial"/>
          <w:i/>
          <w:iCs/>
          <w:sz w:val="22"/>
          <w:szCs w:val="22"/>
        </w:rPr>
        <w:t> </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w:t>
      </w:r>
      <w:r w:rsidRPr="503DC450">
        <w:rPr>
          <w:rFonts w:ascii="Arial" w:hAnsi="Arial" w:cs="Arial"/>
          <w:i/>
          <w:iCs/>
          <w:sz w:val="22"/>
          <w:szCs w:val="22"/>
        </w:rPr>
        <w:t> </w:t>
      </w:r>
    </w:p>
    <w:p w:rsidRPr="503DC450" w:rsidP="00B40E99">
      <w:pPr>
        <w:jc w:val="both"/>
        <w:rPr>
          <w:rFonts w:ascii="Arial" w:hAnsi="Arial" w:cs="Arial"/>
          <w:sz w:val="22"/>
          <w:szCs w:val="22"/>
        </w:rPr>
      </w:pPr>
      <w:r w:rsidRPr="503DC450">
        <w:rPr>
          <w:rFonts w:ascii="Arial" w:hAnsi="Arial" w:cs="Arial"/>
          <w:sz w:val="22"/>
          <w:szCs w:val="22"/>
        </w:rPr>
        <w:t>In order to assist students in achieving their learning outcomes, the Faculty of Science, Engineering, and Computing has a raft of initiatives to support postgraduate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w:t>
      </w:r>
      <w:r w:rsidRPr="503DC450">
        <w:rPr>
          <w:rFonts w:ascii="Arial" w:hAnsi="Arial" w:cs="Arial"/>
          <w:sz w:val="22"/>
          <w:szCs w:val="22"/>
        </w:rPr>
        <w:t xml:space="preserve">  </w:t>
      </w:r>
      <w:r w:rsidRPr="503DC450">
        <w:rPr>
          <w:rFonts w:ascii="Arial" w:hAnsi="Arial" w:cs="Arial"/>
          <w:sz w:val="22"/>
          <w:szCs w:val="22"/>
        </w:rPr>
        <w:t xml:space="preserve">Advice on generic study skills is available on the electronic learning management system (StudySpace) to which all students have access; this includes advice on writing, oral communication, numeracy, problem-solving and career management, among others. </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Students also have access to SEC Academic Success Centre (SASC), which provides a ‘drop in’ service giving advice on all non-subject based aspects of academic work including;</w:t>
      </w:r>
    </w:p>
    <w:p w:rsidRPr="503DC450" w:rsidP="00B40E99">
      <w:pPr>
        <w:numPr>
          <w:ilvl w:val="0"/>
          <w:numId w:val="33"/>
        </w:numPr>
        <w:ind w:left="720" w:right="0" w:hanging="360"/>
        <w:jc w:val="both"/>
        <w:rPr>
          <w:rFonts w:ascii="Arial" w:hAnsi="Arial" w:cs="Arial"/>
          <w:sz w:val="22"/>
          <w:szCs w:val="22"/>
        </w:rPr>
      </w:pPr>
      <w:r w:rsidRPr="503DC450">
        <w:rPr>
          <w:rFonts w:ascii="Arial" w:hAnsi="Arial" w:cs="Arial"/>
          <w:sz w:val="22"/>
          <w:szCs w:val="22"/>
        </w:rPr>
        <w:t>grammar and punctuation,</w:t>
      </w:r>
    </w:p>
    <w:p w:rsidRPr="503DC450" w:rsidP="00B40E99">
      <w:pPr>
        <w:numPr>
          <w:ilvl w:val="0"/>
          <w:numId w:val="33"/>
        </w:numPr>
        <w:ind w:left="720" w:right="0" w:hanging="360"/>
        <w:jc w:val="both"/>
        <w:rPr>
          <w:rFonts w:ascii="Arial" w:hAnsi="Arial" w:cs="Arial"/>
          <w:sz w:val="22"/>
          <w:szCs w:val="22"/>
        </w:rPr>
      </w:pPr>
      <w:r w:rsidRPr="503DC450">
        <w:rPr>
          <w:rFonts w:ascii="Arial" w:hAnsi="Arial" w:cs="Arial"/>
          <w:sz w:val="22"/>
          <w:szCs w:val="22"/>
        </w:rPr>
        <w:t>academic structure</w:t>
      </w:r>
    </w:p>
    <w:p w:rsidRPr="503DC450" w:rsidP="00B40E99">
      <w:pPr>
        <w:numPr>
          <w:ilvl w:val="0"/>
          <w:numId w:val="33"/>
        </w:numPr>
        <w:ind w:left="720" w:right="0" w:hanging="360"/>
        <w:jc w:val="both"/>
        <w:rPr>
          <w:rFonts w:ascii="Arial" w:hAnsi="Arial" w:cs="Arial"/>
          <w:sz w:val="22"/>
          <w:szCs w:val="22"/>
        </w:rPr>
      </w:pPr>
      <w:r w:rsidRPr="503DC450">
        <w:rPr>
          <w:rFonts w:ascii="Arial" w:hAnsi="Arial" w:cs="Arial"/>
          <w:sz w:val="22"/>
          <w:szCs w:val="22"/>
        </w:rPr>
        <w:t>referencing and plagiarism</w:t>
      </w:r>
    </w:p>
    <w:p w:rsidRPr="503DC450" w:rsidP="00B40E99">
      <w:pPr>
        <w:numPr>
          <w:ilvl w:val="0"/>
          <w:numId w:val="33"/>
        </w:numPr>
        <w:ind w:left="720" w:right="0" w:hanging="360"/>
        <w:jc w:val="both"/>
        <w:rPr>
          <w:rFonts w:ascii="Arial" w:hAnsi="Arial" w:cs="Arial"/>
          <w:sz w:val="22"/>
          <w:szCs w:val="22"/>
        </w:rPr>
      </w:pPr>
      <w:r w:rsidRPr="503DC450">
        <w:rPr>
          <w:rFonts w:ascii="Arial" w:hAnsi="Arial" w:cs="Arial"/>
          <w:sz w:val="22"/>
          <w:szCs w:val="22"/>
        </w:rPr>
        <w:t>maths skills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 xml:space="preserve">Students are encouraged to discuss academic and pastoral concerns with their Course </w:t>
      </w:r>
      <w:r w:rsidRPr="503DC450">
        <w:rPr>
          <w:rFonts w:ascii="Arial" w:hAnsi="Arial" w:cs="Arial"/>
          <w:sz w:val="22"/>
          <w:szCs w:val="22"/>
        </w:rPr>
        <w:t>Leade</w:t>
      </w:r>
      <w:r w:rsidRPr="503DC450">
        <w:rPr>
          <w:rFonts w:ascii="Arial" w:hAnsi="Arial" w:cs="Arial"/>
          <w:sz w:val="22"/>
          <w:szCs w:val="22"/>
        </w:rPr>
        <w:t>r/personal tutor, and all academic staff operate a system of Office Hours during which students can consult their lecturers.</w:t>
      </w:r>
      <w:r w:rsidRPr="503DC450">
        <w:rPr>
          <w:rFonts w:ascii="Arial" w:hAnsi="Arial" w:cs="Arial"/>
          <w:sz w:val="22"/>
          <w:szCs w:val="22"/>
        </w:rPr>
        <w:t xml:space="preserve">  </w:t>
      </w:r>
      <w:r w:rsidRPr="503DC450">
        <w:rPr>
          <w:rFonts w:ascii="Arial" w:hAnsi="Arial" w:cs="Arial"/>
          <w:sz w:val="22"/>
          <w:szCs w:val="22"/>
        </w:rPr>
        <w:t xml:space="preserve">In addition the Faculty employs Student </w:t>
      </w:r>
      <w:r w:rsidRPr="503DC450">
        <w:rPr>
          <w:rFonts w:ascii="Arial" w:hAnsi="Arial" w:cs="Arial"/>
          <w:sz w:val="22"/>
          <w:szCs w:val="22"/>
        </w:rPr>
        <w:t xml:space="preserve">Achievement </w:t>
      </w:r>
      <w:r w:rsidRPr="503DC450">
        <w:rPr>
          <w:rFonts w:ascii="Arial" w:hAnsi="Arial" w:cs="Arial"/>
          <w:sz w:val="22"/>
          <w:szCs w:val="22"/>
        </w:rPr>
        <w:t>Officers who are available in both drop-in and appointment sessions to support students in all aspects of their education, including pastoral issues.</w:t>
      </w:r>
    </w:p>
    <w:p w:rsidRPr="503DC450" w:rsidP="00B40E99">
      <w:pPr>
        <w:jc w:val="both"/>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The Personal Tutor Scheme (PTS) has been designed to ease a student’s transition into postgraduate study by building a rapport between themselves and academic staff as soon as possible, so personalising their experience at Kingston.</w:t>
      </w:r>
      <w:r w:rsidRPr="503DC450">
        <w:rPr>
          <w:rFonts w:ascii="Arial" w:hAnsi="Arial" w:cs="Arial"/>
          <w:sz w:val="22"/>
          <w:szCs w:val="22"/>
        </w:rPr>
        <w:t xml:space="preserve">  </w:t>
      </w:r>
      <w:r w:rsidRPr="503DC450">
        <w:rPr>
          <w:rFonts w:ascii="Arial" w:hAnsi="Arial" w:cs="Arial"/>
          <w:sz w:val="22"/>
          <w:szCs w:val="22"/>
        </w:rPr>
        <w:t>Students are placed in small tutorial groups (3-4 students), and are encouraged to work together to provide mutual support. Where possible these groups will include a mix of Kingston alumni, UK and overseas students, and they will meet with their personal tutor two to three times in each teaching block.</w:t>
      </w:r>
    </w:p>
    <w:p w:rsidRPr="503DC450" w:rsidP="00B40E99">
      <w:pPr>
        <w:rPr>
          <w:rFonts w:ascii="Arial" w:hAnsi="Arial" w:cs="Arial"/>
          <w:sz w:val="22"/>
          <w:szCs w:val="22"/>
        </w:rPr>
      </w:pPr>
      <w:r w:rsidRPr="503DC450">
        <w:rPr>
          <w:rFonts w:ascii="Arial" w:hAnsi="Arial" w:cs="Arial"/>
          <w:sz w:val="22"/>
          <w:szCs w:val="22"/>
        </w:rPr>
        <w:t> </w:t>
      </w:r>
    </w:p>
    <w:p w:rsidRPr="503DC450" w:rsidP="00B40E99">
      <w:pPr>
        <w:jc w:val="both"/>
        <w:rPr>
          <w:rFonts w:ascii="Arial" w:hAnsi="Arial" w:cs="Arial"/>
          <w:sz w:val="22"/>
          <w:szCs w:val="22"/>
        </w:rPr>
      </w:pPr>
      <w:r w:rsidRPr="503DC450">
        <w:rPr>
          <w:rFonts w:ascii="Arial" w:hAnsi="Arial" w:cs="Arial"/>
          <w:sz w:val="22"/>
          <w:szCs w:val="22"/>
        </w:rPr>
        <w:t>The PTS aims;</w:t>
      </w:r>
    </w:p>
    <w:p w:rsidRPr="503DC450" w:rsidP="00B40E99">
      <w:pPr>
        <w:numPr>
          <w:ilvl w:val="0"/>
          <w:numId w:val="34"/>
        </w:numPr>
        <w:ind w:left="720" w:right="0" w:hanging="360"/>
        <w:jc w:val="both"/>
        <w:rPr>
          <w:rFonts w:ascii="Arial" w:hAnsi="Arial" w:cs="Arial"/>
          <w:sz w:val="22"/>
          <w:szCs w:val="22"/>
        </w:rPr>
      </w:pPr>
      <w:r w:rsidRPr="503DC450">
        <w:rPr>
          <w:rFonts w:ascii="Arial" w:hAnsi="Arial" w:cs="Arial"/>
          <w:sz w:val="22"/>
          <w:szCs w:val="22"/>
        </w:rPr>
        <w:t>To provide appropriate academic advice</w:t>
      </w:r>
      <w:r w:rsidRPr="503DC450">
        <w:rPr>
          <w:rFonts w:ascii="Arial" w:hAnsi="Arial" w:cs="Arial"/>
          <w:sz w:val="22"/>
          <w:szCs w:val="22"/>
        </w:rPr>
        <w:t xml:space="preserve">  </w:t>
      </w:r>
      <w:r w:rsidRPr="503DC450">
        <w:rPr>
          <w:rFonts w:ascii="Arial" w:hAnsi="Arial" w:cs="Arial"/>
          <w:sz w:val="22"/>
          <w:szCs w:val="22"/>
        </w:rPr>
        <w:t>and guidance to students throughout their time at Kingston by monitoring their progress and helping to identify individual needs</w:t>
      </w:r>
    </w:p>
    <w:p w:rsidRPr="503DC450" w:rsidP="00B40E99">
      <w:pPr>
        <w:numPr>
          <w:ilvl w:val="0"/>
          <w:numId w:val="34"/>
        </w:numPr>
        <w:ind w:left="720" w:right="0" w:hanging="360"/>
        <w:jc w:val="both"/>
        <w:rPr>
          <w:rFonts w:ascii="Arial" w:hAnsi="Arial" w:cs="Arial"/>
          <w:sz w:val="22"/>
          <w:szCs w:val="22"/>
        </w:rPr>
      </w:pPr>
      <w:r w:rsidRPr="503DC450">
        <w:rPr>
          <w:rFonts w:ascii="Arial" w:hAnsi="Arial" w:cs="Arial"/>
          <w:sz w:val="22"/>
          <w:szCs w:val="22"/>
        </w:rPr>
        <w:t>To foster a close and engaged academic relationship with students and advise and refer students to other University services as appropriate</w:t>
      </w:r>
    </w:p>
    <w:p w:rsidRPr="503DC450" w:rsidP="00B40E99">
      <w:pPr>
        <w:numPr>
          <w:ilvl w:val="0"/>
          <w:numId w:val="34"/>
        </w:numPr>
        <w:ind w:left="720" w:right="0" w:hanging="360"/>
        <w:jc w:val="both"/>
        <w:rPr>
          <w:rFonts w:ascii="Arial" w:hAnsi="Arial" w:cs="Arial"/>
          <w:sz w:val="22"/>
          <w:szCs w:val="22"/>
        </w:rPr>
      </w:pPr>
      <w:r w:rsidRPr="503DC450">
        <w:rPr>
          <w:rFonts w:ascii="Arial" w:hAnsi="Arial" w:cs="Arial"/>
          <w:sz w:val="22"/>
          <w:szCs w:val="22"/>
        </w:rPr>
        <w:t>To help to develop students’ ability to be self-reliant and self-reflective and their ability to use feedback to best advantage</w:t>
      </w:r>
    </w:p>
    <w:p w:rsidRPr="503DC450" w:rsidP="00B40E99">
      <w:pPr>
        <w:numPr>
          <w:ilvl w:val="0"/>
          <w:numId w:val="34"/>
        </w:numPr>
        <w:ind w:left="720" w:right="0" w:hanging="360"/>
        <w:jc w:val="both"/>
        <w:rPr>
          <w:rFonts w:ascii="Arial" w:hAnsi="Arial" w:cs="Arial"/>
          <w:sz w:val="22"/>
          <w:szCs w:val="22"/>
        </w:rPr>
      </w:pPr>
      <w:r w:rsidRPr="503DC450">
        <w:rPr>
          <w:rFonts w:ascii="Arial" w:hAnsi="Arial" w:cs="Arial"/>
          <w:sz w:val="22"/>
          <w:szCs w:val="22"/>
        </w:rPr>
        <w:t>To provide a link between curricular and co-curricular aspects of employability</w:t>
      </w:r>
    </w:p>
    <w:p w:rsidRPr="503DC450" w:rsidP="00B40E99">
      <w:pPr>
        <w:rPr>
          <w:rFonts w:ascii="Arial" w:hAnsi="Arial" w:cs="Arial"/>
          <w:sz w:val="22"/>
          <w:szCs w:val="22"/>
        </w:rPr>
      </w:pPr>
      <w:r w:rsidRPr="503DC450">
        <w:rPr>
          <w:rFonts w:ascii="Arial" w:hAnsi="Arial" w:cs="Arial"/>
          <w:sz w:val="22"/>
          <w:szCs w:val="22"/>
        </w:rPr>
        <w:t> </w:t>
      </w:r>
    </w:p>
    <w:tbl>
      <w:tblPr>
        <w:tblCellSpacing w:w="15" w:type="dxa"/>
        <w:tblCellMar>
          <w:top w:w="15" w:type="dxa"/>
          <w:left w:w="15" w:type="dxa"/>
          <w:bottom w:w="15" w:type="dxa"/>
          <w:right w:w="15" w:type="dxa"/>
        </w:tblCellMar>
      </w:tblPr>
      <w:tblGrid>
        <w:gridCol w:w="8996"/>
      </w:tblGrid>
      <w:tr>
        <w:tc>
          <w:tcPr>
            <w:noWrap w:val="0"/>
            <w:tcMar>
              <w:top w:w="15" w:type="dxa"/>
              <w:left w:w="15" w:type="dxa"/>
              <w:bottom w:w="15" w:type="dxa"/>
              <w:right w:w="15" w:type="dxa"/>
            </w:tcMar>
            <w:vAlign w:val="center"/>
            <w:hideMark/>
          </w:tcPr>
          <w:p w:rsidRPr="503DC450" w:rsidP="00B40E99">
            <w:pPr>
              <w:jc w:val="both"/>
              <w:rPr>
                <w:rFonts w:ascii="Arial" w:hAnsi="Arial" w:cs="Arial"/>
                <w:sz w:val="22"/>
                <w:szCs w:val="22"/>
              </w:rPr>
            </w:pPr>
            <w:r w:rsidRPr="503DC450">
              <w:rPr>
                <w:rFonts w:ascii="Arial" w:hAnsi="Arial" w:cs="Arial"/>
                <w:b/>
                <w:bCs/>
                <w:sz w:val="22"/>
                <w:szCs w:val="22"/>
              </w:rPr>
              <w:t>Summary of Student Support</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A personal tutor </w:t>
            </w:r>
            <w:r w:rsidRPr="503DC450">
              <w:rPr>
                <w:rFonts w:ascii="Arial" w:hAnsi="Arial" w:cs="Arial"/>
                <w:sz w:val="22"/>
                <w:szCs w:val="22"/>
              </w:rPr>
              <w:t>who provide</w:t>
            </w:r>
            <w:r w:rsidRPr="503DC450">
              <w:rPr>
                <w:rFonts w:ascii="Arial" w:hAnsi="Arial" w:cs="Arial"/>
                <w:sz w:val="22"/>
                <w:szCs w:val="22"/>
              </w:rPr>
              <w:t>s</w:t>
            </w:r>
            <w:r w:rsidRPr="503DC450">
              <w:rPr>
                <w:rFonts w:ascii="Arial" w:hAnsi="Arial" w:cs="Arial"/>
                <w:sz w:val="22"/>
                <w:szCs w:val="22"/>
              </w:rPr>
              <w:t xml:space="preserve"> academic and personal support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A Module Leader for each module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A Course </w:t>
            </w:r>
            <w:r w:rsidRPr="503DC450">
              <w:rPr>
                <w:rFonts w:ascii="Arial" w:hAnsi="Arial" w:cs="Arial"/>
                <w:sz w:val="22"/>
                <w:szCs w:val="22"/>
              </w:rPr>
              <w:t>Leade</w:t>
            </w:r>
            <w:r w:rsidRPr="503DC450">
              <w:rPr>
                <w:rFonts w:ascii="Arial" w:hAnsi="Arial" w:cs="Arial"/>
                <w:sz w:val="22"/>
                <w:szCs w:val="22"/>
              </w:rPr>
              <w:t xml:space="preserve">r to help students understand the programme structure,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Technical support to advise students on IT and the use of software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A designated programme administrator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An induction week at the beginning of each new academic session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Staff Student Consultative Committee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Canvas</w:t>
            </w:r>
            <w:r w:rsidRPr="503DC450">
              <w:rPr>
                <w:rFonts w:ascii="Arial" w:hAnsi="Arial" w:cs="Arial"/>
                <w:sz w:val="22"/>
                <w:szCs w:val="22"/>
              </w:rPr>
              <w:t xml:space="preserve"> – a versatile on-line interactive intranet and learning environment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A substantial Academic Success Centre that provides academic skills support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Student support facilities that provide advice on issues such as finance, regulations, legal matters, accommodation, international student support etc.</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Disabled student support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 xml:space="preserve">The Students’ Union </w:t>
            </w:r>
          </w:p>
          <w:p w:rsidRPr="503DC450" w:rsidP="00B40E99">
            <w:pPr>
              <w:numPr>
                <w:ilvl w:val="0"/>
                <w:numId w:val="35"/>
              </w:numPr>
              <w:ind w:left="720" w:right="0" w:hanging="360"/>
              <w:jc w:val="both"/>
              <w:rPr>
                <w:rFonts w:ascii="Arial" w:hAnsi="Arial" w:cs="Arial"/>
                <w:sz w:val="22"/>
                <w:szCs w:val="22"/>
              </w:rPr>
            </w:pPr>
            <w:r w:rsidRPr="503DC450">
              <w:rPr>
                <w:rFonts w:ascii="Arial" w:hAnsi="Arial" w:cs="Arial"/>
                <w:sz w:val="22"/>
                <w:szCs w:val="22"/>
              </w:rPr>
              <w:t>Careers and Employability Service</w:t>
            </w:r>
          </w:p>
        </w:tc>
      </w:tr>
    </w:tbl>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rPr>
          <w:rFonts w:ascii="Arial" w:hAnsi="Arial" w:cs="Arial"/>
          <w:sz w:val="22"/>
          <w:szCs w:val="22"/>
        </w:rPr>
      </w:pPr>
      <w:r w:rsidRPr="503DC450">
        <w:rPr>
          <w:rFonts w:ascii="Arial" w:hAnsi="Arial" w:cs="Arial"/>
          <w:sz w:val="22"/>
          <w:szCs w:val="22"/>
        </w:rPr>
        <w:t xml:space="preserve">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36"/>
        </w:numPr>
        <w:ind w:left="720" w:right="0" w:hanging="360"/>
        <w:jc w:val="left"/>
        <w:rPr>
          <w:rFonts w:ascii="Arial" w:hAnsi="Arial" w:cs="Arial"/>
          <w:sz w:val="22"/>
          <w:szCs w:val="22"/>
        </w:rPr>
      </w:pPr>
      <w:r w:rsidRPr="503DC450">
        <w:rPr>
          <w:rFonts w:ascii="Arial" w:hAnsi="Arial" w:cs="Arial"/>
          <w:sz w:val="22"/>
          <w:szCs w:val="22"/>
        </w:rPr>
        <w:t>External examiners</w:t>
      </w:r>
    </w:p>
    <w:p w:rsidRPr="503DC450" w:rsidP="00A92C9B">
      <w:pPr>
        <w:numPr>
          <w:ilvl w:val="0"/>
          <w:numId w:val="36"/>
        </w:numPr>
        <w:ind w:left="720" w:right="0" w:hanging="360"/>
        <w:jc w:val="left"/>
        <w:rPr>
          <w:rFonts w:ascii="Arial" w:hAnsi="Arial" w:cs="Arial"/>
          <w:sz w:val="22"/>
          <w:szCs w:val="22"/>
        </w:rPr>
      </w:pPr>
      <w:r w:rsidRPr="503DC450">
        <w:rPr>
          <w:rFonts w:ascii="Arial" w:hAnsi="Arial" w:cs="Arial"/>
          <w:sz w:val="22"/>
          <w:szCs w:val="22"/>
        </w:rPr>
        <w:t>Boards of study with student representation</w:t>
      </w:r>
    </w:p>
    <w:p w:rsidRPr="503DC450" w:rsidP="00A92C9B">
      <w:pPr>
        <w:numPr>
          <w:ilvl w:val="0"/>
          <w:numId w:val="36"/>
        </w:numPr>
        <w:ind w:left="720" w:right="0" w:hanging="360"/>
        <w:jc w:val="left"/>
        <w:rPr>
          <w:rFonts w:ascii="Arial" w:hAnsi="Arial" w:cs="Arial"/>
          <w:sz w:val="22"/>
          <w:szCs w:val="22"/>
        </w:rPr>
      </w:pPr>
      <w:r w:rsidRPr="503DC450">
        <w:rPr>
          <w:rFonts w:ascii="Arial" w:hAnsi="Arial" w:cs="Arial"/>
          <w:sz w:val="22"/>
          <w:szCs w:val="22"/>
        </w:rPr>
        <w:t>Annual review and development</w:t>
      </w:r>
    </w:p>
    <w:p w:rsidRPr="503DC450" w:rsidP="00A92C9B">
      <w:pPr>
        <w:numPr>
          <w:ilvl w:val="0"/>
          <w:numId w:val="36"/>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36"/>
        </w:numPr>
        <w:ind w:left="720" w:right="0" w:hanging="360"/>
        <w:jc w:val="left"/>
        <w:rPr>
          <w:rFonts w:ascii="Arial" w:hAnsi="Arial" w:cs="Arial"/>
          <w:sz w:val="22"/>
          <w:szCs w:val="22"/>
        </w:rPr>
      </w:pPr>
      <w:r w:rsidRPr="503DC450">
        <w:rPr>
          <w:rFonts w:ascii="Arial" w:hAnsi="Arial" w:cs="Arial"/>
          <w:sz w:val="22"/>
          <w:szCs w:val="22"/>
        </w:rPr>
        <w:t>Student evaluation</w:t>
      </w:r>
    </w:p>
    <w:p w:rsidRPr="503DC450" w:rsidP="00A92C9B">
      <w:pPr>
        <w:numPr>
          <w:ilvl w:val="0"/>
          <w:numId w:val="36"/>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w:t>
      </w:r>
      <w:hyperlink r:id="rId12" w:history="1">
        <w:r w:rsidRPr="503DC450">
          <w:rPr>
            <w:rFonts w:ascii="Arial" w:hAnsi="Arial" w:cs="Arial"/>
            <w:color w:val="000000"/>
            <w:sz w:val="22"/>
            <w:szCs w:val="22"/>
          </w:rPr>
          <w:t>policy</w:t>
        </w:r>
        <w:r w:rsidRPr="503DC450">
          <w:rPr>
            <w:rFonts w:ascii="Arial" w:hAnsi="Arial" w:cs="Arial"/>
            <w:i/>
            <w:iCs/>
            <w:sz w:val="22"/>
            <w:szCs w:val="22"/>
          </w:rPr>
          <w:t xml:space="preserve"> </w:t>
        </w:r>
      </w:hyperlink>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rPr>
          <w:rFonts w:ascii="Arial" w:hAnsi="Arial" w:cs="Arial"/>
          <w:sz w:val="22"/>
          <w:szCs w:val="22"/>
        </w:rPr>
      </w:pPr>
      <w:r w:rsidRPr="503DC450">
        <w:rPr>
          <w:rFonts w:ascii="Arial" w:hAnsi="Arial" w:cs="Arial"/>
          <w:sz w:val="22"/>
          <w:szCs w:val="22"/>
        </w:rPr>
        <w:t xml:space="preserve">Students’ employability skills are developed throughout this course, both through activities that are embedded within the syllabus and from services offered by the Careers and Employability Service. </w:t>
      </w:r>
      <w:r w:rsidRPr="503DC450">
        <w:rPr>
          <w:rFonts w:ascii="Arial" w:hAnsi="Arial" w:cs="Arial"/>
          <w:sz w:val="22"/>
          <w:szCs w:val="22"/>
        </w:rPr>
        <w:t>Biomedical Science modules</w:t>
      </w:r>
      <w:r w:rsidRPr="503DC450">
        <w:rPr>
          <w:rFonts w:ascii="Arial" w:hAnsi="Arial" w:cs="Arial"/>
          <w:sz w:val="22"/>
          <w:szCs w:val="22"/>
        </w:rPr>
        <w:t xml:space="preserve"> have been designed to meet the requirements of a Master’s level qualification, and as such prepares students for a career in hospital-based biomedical science laboratories and related industries.</w:t>
      </w:r>
      <w:r w:rsidRPr="503DC450">
        <w:rPr>
          <w:rFonts w:ascii="Arial" w:hAnsi="Arial" w:cs="Arial"/>
          <w:sz w:val="22"/>
          <w:szCs w:val="22"/>
        </w:rPr>
        <w:t xml:space="preserve">  </w:t>
      </w:r>
      <w:r w:rsidRPr="503DC450">
        <w:rPr>
          <w:rFonts w:ascii="Arial" w:hAnsi="Arial" w:cs="Arial"/>
          <w:sz w:val="22"/>
          <w:szCs w:val="22"/>
        </w:rPr>
        <w:t xml:space="preserve">The management module provides skills relevant to management careers, including entrepreneurship and small business development . </w:t>
      </w:r>
    </w:p>
    <w:p w:rsidRPr="503DC450" w:rsidP="001A372B">
      <w:pPr>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Students are helped to reflect on the transferable skills they have acquired and their relevance to employment. Students are also encouraged to explore the job market and possible career paths, and to consider attributes that employers look for beyond essential academic skills, such as initiative, teamwork, time management, motivation to improve performance, and appropriate communication skills. Students are encouraged to take advantage of opportunities within and outside of the university to develop skills through voluntary roles such as Course Representative. Students are also encouraged to develop clear ideas about possible career options, and are offered assistance and guidance in the preparation of CVs and for job applications and interviews.</w:t>
      </w:r>
      <w:r w:rsidRPr="503DC450">
        <w:rPr>
          <w:rFonts w:ascii="Arial" w:hAnsi="Arial" w:cs="Arial"/>
          <w:sz w:val="22"/>
          <w:szCs w:val="22"/>
        </w:rPr>
        <w:t xml:space="preserve">  </w:t>
      </w:r>
    </w:p>
    <w:p w:rsidRPr="503DC450" w:rsidP="001A372B">
      <w:pPr>
        <w:jc w:val="both"/>
        <w:rPr>
          <w:rFonts w:ascii="Arial" w:hAnsi="Arial" w:cs="Arial"/>
          <w:sz w:val="22"/>
          <w:szCs w:val="22"/>
        </w:rPr>
      </w:pPr>
      <w:r w:rsidRPr="503DC450">
        <w:rPr>
          <w:rFonts w:ascii="Arial" w:hAnsi="Arial" w:cs="Arial"/>
          <w:sz w:val="22"/>
          <w:szCs w:val="22"/>
        </w:rPr>
        <w:t xml:space="preserve">Current employers are involved in the delivery of the course, and ensure that the content of the course, and the knowledge and skills that students acquire, are appropriate to workplace requirements. </w:t>
      </w:r>
    </w:p>
    <w:p w:rsidRPr="503DC450" w:rsidP="001A372B">
      <w:pPr>
        <w:jc w:val="both"/>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Emphasis is also placed on the transferability of these skills, and graduates of this course have taken up posts in a variety of employment settings including the NHS, commercial and research laboratories (for example GlaxoSmithKline, the Animal Health and Veterinary Laboratories), and diagnostic instrument and reagent manufacturers. Skills learned and developed during the research project have often allowed students to secure job interviews and employment and/or to finalise their employment ambitions.</w:t>
      </w:r>
      <w:r w:rsidRPr="503DC450">
        <w:rPr>
          <w:rFonts w:ascii="Arial" w:hAnsi="Arial" w:cs="Arial"/>
          <w:sz w:val="22"/>
          <w:szCs w:val="22"/>
        </w:rPr>
        <w:t xml:space="preserve">  </w:t>
      </w:r>
      <w:r w:rsidRPr="503DC450">
        <w:rPr>
          <w:rFonts w:ascii="Arial" w:hAnsi="Arial" w:cs="Arial"/>
          <w:sz w:val="22"/>
          <w:szCs w:val="22"/>
        </w:rPr>
        <w:t>Some students continue with their studies, and the course is an excellent basis for those who intend to pursue a research career via a PhD.</w:t>
      </w:r>
      <w:r w:rsidRPr="503DC450">
        <w:rPr>
          <w:rFonts w:ascii="Arial" w:hAnsi="Arial" w:cs="Arial"/>
          <w:sz w:val="22"/>
          <w:szCs w:val="22"/>
        </w:rPr>
        <w:t xml:space="preserve">  </w:t>
      </w:r>
      <w:r w:rsidRPr="503DC450">
        <w:rPr>
          <w:rFonts w:ascii="Arial" w:hAnsi="Arial" w:cs="Arial"/>
          <w:sz w:val="22"/>
          <w:szCs w:val="22"/>
        </w:rPr>
        <w:t>Additionally, the degree can be used as a qualification for entry to PGCE teacher training.</w:t>
      </w:r>
    </w:p>
    <w:p w:rsidRPr="503DC450" w:rsidP="001A372B">
      <w:pPr>
        <w:rPr>
          <w:rFonts w:ascii="Arial" w:hAnsi="Arial" w:cs="Arial"/>
          <w:sz w:val="22"/>
          <w:szCs w:val="22"/>
        </w:rPr>
      </w:pP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For students already in employment the course offers an opportunity to enhance their knowledge and to develop their practical, intellectual and key skills to assist them in their career development</w:t>
      </w:r>
      <w:r w:rsidRPr="503DC450">
        <w:rPr>
          <w:rFonts w:ascii="Arial" w:hAnsi="Arial" w:cs="Arial"/>
          <w:sz w:val="22"/>
          <w:szCs w:val="22"/>
        </w:rPr>
        <w:t>.</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ind w:left="720"/>
        <w:jc w:val="both"/>
        <w:rPr>
          <w:rFonts w:ascii="Arial" w:hAnsi="Arial" w:cs="Arial"/>
          <w:sz w:val="22"/>
          <w:szCs w:val="22"/>
        </w:rPr>
      </w:pPr>
      <w:r w:rsidRPr="503DC450">
        <w:rPr>
          <w:rFonts w:ascii="Arial" w:hAnsi="Arial" w:cs="Arial"/>
          <w:sz w:val="22"/>
          <w:szCs w:val="22"/>
        </w:rPr>
        <w:t>Work placements are actively encouraged – although it is the responsibility of individual students to source and secure such placements.</w:t>
      </w:r>
      <w:r w:rsidRPr="503DC450">
        <w:rPr>
          <w:rFonts w:ascii="Arial" w:hAnsi="Arial" w:cs="Arial"/>
          <w:sz w:val="22"/>
          <w:szCs w:val="22"/>
        </w:rPr>
        <w:t xml:space="preserve">  </w:t>
      </w:r>
      <w:r w:rsidRPr="503DC450">
        <w:rPr>
          <w:rFonts w:ascii="Arial" w:hAnsi="Arial" w:cs="Arial"/>
          <w:sz w:val="22"/>
          <w:szCs w:val="22"/>
        </w:rPr>
        <w:t>This allows students to reflect upon their own personal experience of working in an applied setting, to focus on aspects of this experience that they can clearly relate to theoretical concepts and to evaluate the relationship between theory and practice.</w:t>
      </w:r>
    </w:p>
    <w:p w:rsidRPr="503DC450" w:rsidP="00A92C9B">
      <w:pPr>
        <w:ind w:left="720"/>
        <w:jc w:val="both"/>
        <w:rPr>
          <w:rFonts w:ascii="Arial" w:hAnsi="Arial" w:cs="Arial"/>
          <w:sz w:val="22"/>
          <w:szCs w:val="22"/>
        </w:rPr>
      </w:pPr>
      <w:r w:rsidRPr="503DC450">
        <w:rPr>
          <w:rFonts w:ascii="Arial" w:hAnsi="Arial" w:cs="Arial"/>
          <w:sz w:val="22"/>
          <w:szCs w:val="22"/>
        </w:rPr>
        <w:t> </w:t>
      </w:r>
    </w:p>
    <w:p w:rsidRPr="503DC450" w:rsidP="00A92C9B">
      <w:pPr>
        <w:ind w:left="720"/>
        <w:jc w:val="both"/>
        <w:rPr>
          <w:rFonts w:ascii="Arial" w:hAnsi="Arial" w:cs="Arial"/>
          <w:sz w:val="22"/>
          <w:szCs w:val="22"/>
        </w:rPr>
      </w:pPr>
      <w:r w:rsidRPr="503DC450">
        <w:rPr>
          <w:rFonts w:ascii="Arial" w:hAnsi="Arial" w:cs="Arial"/>
          <w:sz w:val="22"/>
          <w:szCs w:val="22"/>
        </w:rPr>
        <w:t>Kingston University is now offering an optional two year postgraduate programme with an integrated work placement component within the programme. This option is available for both international and full-time home/EU students.The onus to find and secure the placement is on you, but you can make use of the University's career support services (</w:t>
      </w:r>
      <w:hyperlink r:id="rId13" w:tgtFrame="_blank" w:history="1">
        <w:r w:rsidRPr="503DC450">
          <w:rPr>
            <w:rFonts w:ascii="Arial" w:hAnsi="Arial" w:cs="Arial"/>
            <w:sz w:val="22"/>
            <w:szCs w:val="22"/>
            <w:u w:val="single"/>
          </w:rPr>
          <w:t>KU Talent</w:t>
        </w:r>
      </w:hyperlink>
      <w:r w:rsidRPr="503DC450">
        <w:rPr>
          <w:rFonts w:ascii="Arial" w:hAnsi="Arial" w:cs="Arial"/>
          <w:sz w:val="22"/>
          <w:szCs w:val="22"/>
        </w:rPr>
        <w:t>) to help you. Placements must be secured by</w:t>
      </w:r>
      <w:r w:rsidRPr="503DC450">
        <w:rPr>
          <w:rFonts w:ascii="Arial" w:hAnsi="Arial" w:cs="Arial"/>
          <w:sz w:val="22"/>
          <w:szCs w:val="22"/>
        </w:rPr>
        <w:t xml:space="preserve"> </w:t>
      </w:r>
      <w:r w:rsidRPr="503DC450">
        <w:rPr>
          <w:rFonts w:ascii="Arial" w:hAnsi="Arial" w:cs="Arial"/>
          <w:sz w:val="22"/>
          <w:szCs w:val="22"/>
        </w:rPr>
        <w:t>15 May 2018.</w:t>
      </w:r>
      <w:r w:rsidRPr="503DC450">
        <w:rPr>
          <w:rFonts w:ascii="Arial" w:hAnsi="Arial" w:cs="Arial"/>
          <w:sz w:val="22"/>
          <w:szCs w:val="22"/>
        </w:rPr>
        <w:t> </w:t>
      </w:r>
      <w:r w:rsidRPr="503DC450">
        <w:rPr>
          <w:rFonts w:ascii="Arial" w:hAnsi="Arial" w:cs="Arial"/>
          <w:sz w:val="22"/>
          <w:szCs w:val="22"/>
        </w:rPr>
        <w:t>The placement will be undertaken after the taught portion of your programme and before the dissertatio</w:t>
      </w:r>
      <w:r w:rsidRPr="503DC450">
        <w:rPr>
          <w:rFonts w:ascii="Arial" w:hAnsi="Arial" w:cs="Arial"/>
          <w:sz w:val="22"/>
          <w:szCs w:val="22"/>
        </w:rPr>
        <w:t>n. The placement will be for a m</w:t>
      </w:r>
      <w:r w:rsidRPr="503DC450">
        <w:rPr>
          <w:rFonts w:ascii="Arial" w:hAnsi="Arial" w:cs="Arial"/>
          <w:sz w:val="22"/>
          <w:szCs w:val="22"/>
        </w:rPr>
        <w:t>inimum of 10 months, and a maximum of 12 months. It must be full time: 30-40 hours per week, with no more than 60 days of ‘inactivity’ a</w:t>
      </w:r>
      <w:r w:rsidRPr="503DC450">
        <w:rPr>
          <w:rFonts w:ascii="Arial" w:hAnsi="Arial" w:cs="Arial"/>
          <w:sz w:val="22"/>
          <w:szCs w:val="22"/>
        </w:rPr>
        <w:t>nd usual working hours such as</w:t>
      </w:r>
      <w:r w:rsidRPr="503DC450">
        <w:rPr>
          <w:rFonts w:ascii="Arial" w:hAnsi="Arial" w:cs="Arial"/>
          <w:sz w:val="22"/>
          <w:szCs w:val="22"/>
        </w:rPr>
        <w:t xml:space="preserve">  </w:t>
      </w:r>
      <w:r w:rsidRPr="503DC450">
        <w:rPr>
          <w:rFonts w:ascii="Arial" w:hAnsi="Arial" w:cs="Arial"/>
          <w:sz w:val="22"/>
          <w:szCs w:val="22"/>
        </w:rPr>
        <w:t>9/9:30am-5.30/6pm. The placement cannot be a ‘self-employed’ year, you ne</w:t>
      </w:r>
      <w:r w:rsidRPr="503DC450">
        <w:rPr>
          <w:rFonts w:ascii="Arial" w:hAnsi="Arial" w:cs="Arial"/>
          <w:sz w:val="22"/>
          <w:szCs w:val="22"/>
        </w:rPr>
        <w:t xml:space="preserve">ed to be working for a company. </w:t>
      </w:r>
      <w:r w:rsidRPr="503DC450">
        <w:rPr>
          <w:rFonts w:ascii="Arial" w:hAnsi="Arial" w:cs="Arial"/>
          <w:sz w:val="22"/>
          <w:szCs w:val="22"/>
        </w:rPr>
        <w:t>You will do the placement between th</w:t>
      </w:r>
      <w:r w:rsidRPr="503DC450">
        <w:rPr>
          <w:rFonts w:ascii="Arial" w:hAnsi="Arial" w:cs="Arial"/>
          <w:sz w:val="22"/>
          <w:szCs w:val="22"/>
        </w:rPr>
        <w:t xml:space="preserve">e taught portion of the course, </w:t>
      </w:r>
      <w:r w:rsidRPr="503DC450">
        <w:rPr>
          <w:rFonts w:ascii="Arial" w:hAnsi="Arial" w:cs="Arial"/>
          <w:sz w:val="22"/>
          <w:szCs w:val="22"/>
        </w:rPr>
        <w:t>and the dissertation period.</w:t>
      </w:r>
      <w:r w:rsidRPr="503DC450">
        <w:rPr>
          <w:rFonts w:ascii="Arial" w:hAnsi="Arial" w:cs="Arial"/>
          <w:sz w:val="22"/>
          <w:szCs w:val="22"/>
        </w:rPr>
        <w:t xml:space="preserve"> </w:t>
      </w:r>
      <w:r w:rsidRPr="503DC450">
        <w:rPr>
          <w:rFonts w:ascii="Arial" w:hAnsi="Arial" w:cs="Arial"/>
          <w:sz w:val="22"/>
          <w:szCs w:val="22"/>
        </w:rPr>
        <w:t>Care is taken to involve students in the day-to-day work of these laboratories, allowing students to gain an understanding of how important ‘employability skills’ are in a ‘real-world’ situation</w:t>
      </w:r>
      <w:r w:rsidRPr="503DC450">
        <w:rPr>
          <w:rFonts w:ascii="Arial" w:hAnsi="Arial" w:cs="Arial"/>
          <w:sz w:val="22"/>
          <w:szCs w:val="22"/>
        </w:rPr>
        <w:t xml:space="preserve">. </w:t>
      </w:r>
      <w:r w:rsidRPr="503DC450">
        <w:rPr>
          <w:rFonts w:ascii="Arial" w:hAnsi="Arial" w:cs="Arial"/>
          <w:sz w:val="22"/>
          <w:szCs w:val="22"/>
        </w:rPr>
        <w:t>As the work placement is an assessed part of the course, if you are an international student, you will be issued a two year visa to cover both the taught and the work placement components upon meeting the Home Office's requirements (including the 5-year time limit on Tier 4 study - see the</w:t>
      </w:r>
      <w:r w:rsidRPr="503DC450">
        <w:rPr>
          <w:rFonts w:ascii="Arial" w:hAnsi="Arial" w:cs="Arial"/>
          <w:sz w:val="22"/>
          <w:szCs w:val="22"/>
        </w:rPr>
        <w:t xml:space="preserve"> </w:t>
      </w:r>
      <w:hyperlink r:id="rId14" w:tgtFrame="_blank" w:history="1">
        <w:r w:rsidRPr="503DC450">
          <w:rPr>
            <w:rFonts w:ascii="Arial" w:hAnsi="Arial" w:cs="Arial"/>
            <w:sz w:val="22"/>
            <w:szCs w:val="22"/>
            <w:u w:val="single"/>
          </w:rPr>
          <w:t>UKCIS</w:t>
        </w:r>
        <w:r w:rsidRPr="503DC450">
          <w:rPr>
            <w:rFonts w:ascii="Arial" w:hAnsi="Arial" w:cs="Arial"/>
            <w:sz w:val="22"/>
            <w:szCs w:val="22"/>
            <w:u w:val="single"/>
          </w:rPr>
          <w:t>A</w:t>
        </w:r>
        <w:r w:rsidRPr="503DC450">
          <w:rPr>
            <w:rFonts w:ascii="Arial" w:hAnsi="Arial" w:cs="Arial"/>
            <w:sz w:val="22"/>
            <w:szCs w:val="22"/>
            <w:u w:val="single"/>
          </w:rPr>
          <w:t xml:space="preserve"> website</w:t>
        </w:r>
      </w:hyperlink>
      <w:r w:rsidRPr="503DC450">
        <w:rPr>
          <w:rFonts w:ascii="Arial" w:hAnsi="Arial" w:cs="Arial"/>
          <w:sz w:val="22"/>
          <w:szCs w:val="22"/>
        </w:rPr>
        <w:t>).</w:t>
      </w:r>
      <w:r w:rsidRPr="503DC450">
        <w:rPr>
          <w:rFonts w:ascii="Arial" w:hAnsi="Arial" w:cs="Arial"/>
          <w:sz w:val="22"/>
          <w:szCs w:val="22"/>
        </w:rPr>
        <w:t>The p</w:t>
      </w:r>
      <w:r w:rsidRPr="503DC450">
        <w:rPr>
          <w:rFonts w:ascii="Arial" w:hAnsi="Arial" w:cs="Arial"/>
          <w:sz w:val="22"/>
          <w:szCs w:val="22"/>
        </w:rPr>
        <w:t>lacement Year is a ‘pass/fail’ module, and the grade will not affect your degree classification (i.e. Merit, Distinction), but will appear on your final transcript. Your performance and attendance will be regularly monitored throughout the placement year. During the placement year you will still be registered as a Kingston student, so you will have access to the usual student facilities and will qualify for a Student Oyster and Student Rail Card</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pStyle w:val="p"/>
        <w:spacing w:before="0" w:after="0"/>
        <w:ind w:left="360" w:right="0"/>
        <w:rPr>
          <w:rFonts w:ascii="Times New Roman" w:eastAsia="Times New Roman" w:hAnsi="Times New Roman" w:cs="Times New Roman"/>
          <w:sz w:val="22"/>
          <w:szCs w:val="22"/>
        </w:rPr>
      </w:pPr>
      <w:r w:rsidRPr="503DC450">
        <w:rPr>
          <w:rFonts w:ascii="Arial" w:eastAsia="Arial" w:hAnsi="Arial" w:cs="Arial"/>
          <w:i/>
          <w:iCs/>
          <w:sz w:val="22"/>
          <w:szCs w:val="22"/>
        </w:rPr>
        <w:t>Further information on the requirements of the Institute of Biomedical Science can be found on the</w:t>
      </w:r>
      <w:r w:rsidRPr="503DC450">
        <w:rPr>
          <w:rFonts w:ascii="Arial" w:eastAsia="Arial" w:hAnsi="Arial" w:cs="Arial"/>
          <w:i/>
          <w:iCs/>
          <w:sz w:val="22"/>
          <w:szCs w:val="22"/>
        </w:rPr>
        <w:t xml:space="preserve"> official</w:t>
      </w:r>
      <w:r w:rsidRPr="503DC450">
        <w:rPr>
          <w:rFonts w:ascii="Arial" w:eastAsia="Arial" w:hAnsi="Arial" w:cs="Arial"/>
          <w:i/>
          <w:iCs/>
          <w:sz w:val="22"/>
          <w:szCs w:val="22"/>
        </w:rPr>
        <w:t xml:space="preserve"> site</w:t>
      </w:r>
      <w:r w:rsidRPr="503DC450">
        <w:rPr>
          <w:rFonts w:ascii="Arial" w:eastAsia="Arial" w:hAnsi="Arial" w:cs="Arial"/>
          <w:i/>
          <w:iCs/>
          <w:sz w:val="22"/>
          <w:szCs w:val="22"/>
        </w:rPr>
        <w:t xml:space="preserve">: </w:t>
      </w:r>
      <w:hyperlink r:id="rId15" w:history="1">
        <w:r w:rsidRPr="503DC450">
          <w:rPr>
            <w:rFonts w:ascii="Arial" w:eastAsia="Arial" w:hAnsi="Arial" w:cs="Arial"/>
            <w:i/>
            <w:iCs/>
            <w:color w:val="0000FF"/>
            <w:sz w:val="22"/>
            <w:szCs w:val="22"/>
            <w:u w:val="single" w:color="0000FF"/>
          </w:rPr>
          <w:t>https://www.ibm</w:t>
        </w:r>
        <w:r w:rsidRPr="503DC450">
          <w:rPr>
            <w:rFonts w:ascii="Arial" w:eastAsia="Arial" w:hAnsi="Arial" w:cs="Arial"/>
            <w:i/>
            <w:iCs/>
            <w:color w:val="0000FF"/>
            <w:sz w:val="22"/>
            <w:szCs w:val="22"/>
            <w:u w:val="single" w:color="0000FF"/>
          </w:rPr>
          <w:t>s</w:t>
        </w:r>
        <w:r w:rsidRPr="503DC450">
          <w:rPr>
            <w:rFonts w:ascii="Arial" w:eastAsia="Arial" w:hAnsi="Arial" w:cs="Arial"/>
            <w:i/>
            <w:iCs/>
            <w:color w:val="0000FF"/>
            <w:sz w:val="22"/>
            <w:szCs w:val="22"/>
            <w:u w:val="single" w:color="0000FF"/>
          </w:rPr>
          <w:t>.</w:t>
        </w:r>
        <w:r w:rsidRPr="503DC450">
          <w:rPr>
            <w:rFonts w:ascii="Arial" w:eastAsia="Arial" w:hAnsi="Arial" w:cs="Arial"/>
            <w:i/>
            <w:iCs/>
            <w:color w:val="0000FF"/>
            <w:sz w:val="22"/>
            <w:szCs w:val="22"/>
            <w:u w:val="single" w:color="0000FF"/>
          </w:rPr>
          <w:t>o</w:t>
        </w:r>
        <w:r w:rsidRPr="503DC450">
          <w:rPr>
            <w:rFonts w:ascii="Arial" w:eastAsia="Arial" w:hAnsi="Arial" w:cs="Arial"/>
            <w:i/>
            <w:iCs/>
            <w:color w:val="0000FF"/>
            <w:sz w:val="22"/>
            <w:szCs w:val="22"/>
            <w:u w:val="single" w:color="0000FF"/>
          </w:rPr>
          <w:t>rg/</w:t>
        </w:r>
      </w:hyperlink>
    </w:p>
    <w:p w:rsidRPr="503DC450" w:rsidP="00A92C9B">
      <w:pPr>
        <w:pStyle w:val="p"/>
        <w:spacing w:before="0" w:after="0"/>
        <w:ind w:left="360" w:right="0"/>
        <w:rPr>
          <w:rFonts w:ascii="Arial" w:eastAsia="Arial" w:hAnsi="Arial" w:cs="Arial"/>
          <w:i/>
          <w:iCs/>
          <w:color w:val="FF0000"/>
          <w:sz w:val="22"/>
          <w:szCs w:val="22"/>
        </w:rPr>
      </w:pP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416"/>
        <w:gridCol w:w="761"/>
        <w:gridCol w:w="761"/>
        <w:gridCol w:w="761"/>
        <w:gridCol w:w="761"/>
        <w:gridCol w:w="706"/>
        <w:gridCol w:w="761"/>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CI7600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LS7004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CH7900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F</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ingston.ac.uk/careers/" TargetMode="External"/><Relationship Id="rId18"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www.qaa.ac.uk/assuring-standards-and-quality/the-quality-code/subject-benchmark-statements" TargetMode="External"/><Relationship Id="rId17" Type="http://schemas.openxmlformats.org/officeDocument/2006/relationships/numbering" Target="numbering.xml"/><Relationship Id="rId7" Type="http://schemas.openxmlformats.org/officeDocument/2006/relationships/customXml" Target="../customXml/item4.xml"/><Relationship Id="rId16" Type="http://schemas.openxmlformats.org/officeDocument/2006/relationships/theme" Target="theme/theme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15" Type="http://schemas.openxmlformats.org/officeDocument/2006/relationships/hyperlink" Target="https://www.ibms.org/" TargetMode="External"/><Relationship Id="rId10" Type="http://schemas.openxmlformats.org/officeDocument/2006/relationships/hyperlink" Target="https://www.officeforstudents.org.uk/media/53821cbf-5779-4380-bf2a-aa8f5c53ecd4/sector-recognised-standards.pdf" TargetMode="External"/><Relationship Id="rId14" Type="http://schemas.openxmlformats.org/officeDocument/2006/relationships/hyperlink" Target="https://www.ukcisa.org.uk/" TargetMode="External"/><Relationship Id="rId4" Type="http://schemas.openxmlformats.org/officeDocument/2006/relationships/customXml" Target="../customXml/item1.xml"/><Relationship Id="rId9" Type="http://schemas.openxmlformats.org/officeDocument/2006/relationships/hyperlink" Target="https://www.kingston.ac.uk/international/studying-at-kingston/language-requirements/alternative-tests-and-qualifications/"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2E56442-6DD4-4386-81AC-A5ADF7AE1E9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