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Pharmaceutical Science with Management Studies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29/09/2023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Chemical &amp; Pharmaceutical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Pharmaceutical Science with Management Studies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Diploma Pharmaceutical Science with Management Studies</w:t>
            </w:r>
            <w:r>
              <w:br/>
            </w:r>
            <w:r w:rsidRPr="01DA1EA0" w:rsidR="12C816DE">
              <w:rPr>
                <w:rFonts w:ascii="Arial" w:hAnsi="Arial" w:cs="Arial"/>
                <w:sz w:val="22"/>
                <w:szCs w:val="22"/>
              </w:rPr>
              <w:t>PG Certificate Pharmaceutical Science with Management Studies</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PFPSM1PSM01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Pharmaceutical Science with Management Studies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Diploma Pharmaceutical Science with Management Studies with Professional Placement</w:t>
            </w:r>
            <w:r>
              <w:br/>
            </w:r>
            <w:r w:rsidRPr="01DA1EA0" w:rsidR="12C816DE">
              <w:rPr>
                <w:rFonts w:ascii="Arial" w:hAnsi="Arial" w:cs="Arial"/>
                <w:sz w:val="22"/>
                <w:szCs w:val="22"/>
              </w:rPr>
              <w:t>PG Certificate Pharmaceutical Science with Management Studies with Professional Placement</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r w:rsidRPr="01DA1EA0">
              <w:rPr>
                <w:rFonts w:ascii="Arial" w:hAnsi="Arial" w:cs="Arial"/>
                <w:sz w:val="22"/>
                <w:szCs w:val="22"/>
              </w:rPr>
              <w:t>PFPSM1PSM99</w:t>
            </w:r>
          </w:p>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 Campus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The minimum entry qualifications for the programme are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Candidates with an alternative qualification such as an HND are normally expected to have appropriate experience in pharmaceutical or related field.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A successful completion of  a recognised English Language examinations, such as IELTS test (with a minimum overall score of 6.5 with 6.0 in Writing and no element i.e. Reading, Listening and Speaking less than 5.5), is required.</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4"/>
                <w:szCs w:val="24"/>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200" w:line="276" w:lineRule="auto"/>
              <w:ind w:left="0" w:right="0"/>
              <w:rPr>
                <w:rStyle w:val="normaltextrun"/>
                <w:rFonts w:ascii="Times New Roman" w:eastAsia="Times New Roman" w:hAnsi="Times New Roman" w:cs="Times New Roman"/>
                <w:color w:val="000000"/>
                <w:sz w:val="22"/>
                <w:szCs w:val="22"/>
                <w:shd w:val="clear" w:color="auto" w:fill="FFFFFF"/>
              </w:rPr>
            </w:pPr>
            <w:hyperlink r:id="rId9" w:history="1">
              <w:r>
                <w:rPr>
                  <w:rStyle w:val="normaltextrun"/>
                  <w:rFonts w:ascii="Arial" w:eastAsia="Arial" w:hAnsi="Arial" w:cs="Arial"/>
                  <w:i/>
                  <w:iCs/>
                  <w:color w:val="0000FF"/>
                  <w:sz w:val="22"/>
                  <w:szCs w:val="22"/>
                  <w:u w:val="single" w:color="0000FF"/>
                  <w:shd w:val="clear" w:color="auto" w:fill="FFFFFF"/>
                </w:rPr>
                <w:t>QAA Master’s Degree Characteristics</w:t>
              </w:r>
            </w:hyperlink>
            <w:r>
              <w:rPr>
                <w:rStyle w:val="normaltextrun"/>
                <w:rFonts w:ascii="Arial" w:eastAsia="Arial" w:hAnsi="Arial" w:cs="Arial"/>
                <w:i/>
                <w:iCs/>
                <w:color w:val="000000"/>
                <w:sz w:val="22"/>
                <w:szCs w:val="22"/>
                <w:shd w:val="clear" w:color="auto" w:fill="FFFFFF"/>
              </w:rPr>
              <w: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postgraduate regulations.</w:t>
            </w: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The aims of the MSc programme are:</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ensure that students possess an in-depth knowledge of the core elements of pharmaceutical science and their applications in industry and research.</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analytical and evaluative skills for management decision making and to build an awareness of the requirements of management expertise in different business and organisational contexts.</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students’ problem-solving, practical, IT and key (transferable) skills derived from the collection, analysis, interpretation and representation of data and information in preparation for their careers in a variety of work environments.</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critical awareness of the aspects concerning clinical trials, post-marketing pharmacovigilance and regulatory affairs of drug products manufactured within the pharmaceutical industry.</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provide the skills required for self-management and autonomy in the planning, organisation and conduct of an independent research project by enabling them to engage with current research methods and techniques.</w:t>
      </w:r>
    </w:p>
    <w:p w:rsidRPr="007C4290" w:rsidP="00A92C9B">
      <w:pPr>
        <w:pStyle w:val="ListParagraph"/>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In addition, the aims of the professional placement module are:</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rsidRPr="007C4290" w:rsidP="00A92C9B">
      <w:pPr>
        <w:pStyle w:val="ListParagraph"/>
        <w:numPr>
          <w:ilvl w:val="0"/>
          <w:numId w:val="1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 xml:space="preserve">To allow students to consolidate and apply the range of skills and knowledge acquired in the course of their studies to a work environment and to reflect on and develop these skills and knowledge further.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The programme outcomes are referenced to the QAA subject benchmarks for Chemistry and Pharmacy, and the </w:t>
      </w:r>
      <w:hyperlink r:id="rId9" w:history="1">
        <w:r w:rsidRPr="007C4290">
          <w:rPr>
            <w:rStyle w:val="normaltextrun"/>
            <w:rFonts w:ascii="Arial" w:hAnsi="Arial" w:cs="Arial"/>
            <w:color w:val="000000" w:themeColor="text1"/>
            <w:sz w:val="22"/>
            <w:szCs w:val="22"/>
            <w:shd w:val="clear" w:color="auto" w:fill="FFFFFF"/>
          </w:rPr>
          <w:t>Framework for Higher Education Qualifications</w:t>
        </w:r>
        <w:r w:rsidRPr="007C4290">
          <w:rPr>
            <w:rStyle w:val="normaltextrun"/>
            <w:rFonts w:ascii="Arial" w:hAnsi="Arial" w:cs="Arial"/>
            <w:color w:val="000000" w:themeColor="text1"/>
            <w:sz w:val="22"/>
            <w:szCs w:val="22"/>
            <w:shd w:val="clear" w:color="auto" w:fill="FFFFFF"/>
          </w:rPr>
          <w:t> of UK Degree-Awarding Bodies (2018)</w:t>
        </w:r>
      </w:hyperlink>
      <w:r w:rsidRPr="007C4290">
        <w:rPr>
          <w:rStyle w:val="normaltextrun"/>
          <w:rFonts w:ascii="Arial" w:hAnsi="Arial" w:cs="Arial"/>
          <w:color w:val="000000" w:themeColor="text1"/>
          <w:sz w:val="24"/>
          <w:szCs w:val="24"/>
          <w:shd w:val="clear" w:color="auto" w:fill="FFFFFF"/>
        </w:rPr>
        <w:t>,</w:t>
      </w:r>
      <w:r w:rsidRPr="007C4290">
        <w:rPr>
          <w:rStyle w:val="normaltextrun"/>
          <w:rFonts w:ascii="Arial" w:hAnsi="Arial" w:cs="Arial"/>
          <w:color w:val="000000" w:themeColor="text1"/>
          <w:sz w:val="24"/>
          <w:szCs w:val="24"/>
          <w:shd w:val="clear" w:color="auto" w:fill="FFFFFF"/>
        </w:rPr>
        <w:t xml:space="preserve"> and relate to the typical student. The course provides opportunities for students to develop and demonstrate knowledge and understanding specific to the subject, key skills and graduate attributes in the areas as outlined within the table on page 5.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In addition, students who successfully complete the professional placement  module will be able to:</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Relate academic theory to practice and apply knowledge and skills in a professional context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Maintain an accurate account of work activity , reflect critically on the experience of the placement and evaluate their own personal and professional development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Confidently present a critical understanding of the placement organisation and their experience within it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Autonomously evaluate tasks set in the work place and apply effective communication and problem solving initiatives to achieve the best outcome for the employer;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fully understand how to prepare a research report and poster in the correct format and to have an active engagement and familiarity with recent and current research methods, results and publications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develop an understanding of the challenges concerning  pharmaceutical industry, and with reflection and recall of both theoretical and practical skills, be able to contemplate solutions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controlled experiments to investigate qualitative and/or quantitative characteristics of pharmaceuticals and apply and adapt problem solving skills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fully understand how a research project operates and undertake research in a logical and safe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carry out and report investigations with an effective self-critical attitude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an understanding of the analytical challenges particular to the pharmaceutical industry and acquire the specialised knowledge to face those challenges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possess a comprehensive knowledge of the use of IT and predictive systems that are used to produce and evaluate drug molecules and medicinal products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evaluate financial risk and decision making within a business environment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be conversant with the detailed and strict requirements of facilities used in the manufacturing of medicines for use by patients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develop the leadership skills in order to meet business challenges and cope with its complexity and to exhibit competence in a set of analytical and evaluative management skills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 independent, autonomous and self-managed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implement good scientific and consistent practice, reliably recording methods and results using appropriate methods to critically analyse the data and statistically evaluate the level of its uncertainty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possess knowledge of the principles and concepts within pharmaceutical science and acquire competence in the  development, selection, and use of a range of pharmaceutical products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select  appropriate techniques and procedures for undertaking scientific analyses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operating in an efficient manner the techniques used widely in the analytical and pharmaceutical industry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appreciate the role of pharmaceutical scientist in a variety of work environments and possess a clear understanding of the ethical, legal and commercial responsibilities of the profession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solve the more complex problems that can arise during the theoretical and/or experimental investigations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subjectspecific practical work safely and understand the safety requirements  which include generating CoSHH forms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acquire specialist knowledge on quality assurance/control of pharmaceuticals in addition to acquiring specialist knowledge of advanced analytical techniques and specialised applications of those techniques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scientific data from a variety of sources, discern and establish correlations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undertake a strategic analysis of commercial operations within a business environment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 xml:space="preserve">This programme is offered in full-time mode, and leads to the award of MSc in Pharmaceutical Science with Management Studies. Exit awards such as a postgraduate diploma or a postgraduate certificate are possible when the maximum credits achieved by a candidate are either 120 or 60 respectively. Intake into the programme is normally in September and January.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The MSc is made up of four taught modules each worth 30 credits and a research project worth 60 credits (180 credits total). All students will be provided with the University regulations. Full details of each module will be provided in module descriptors and on module pages within Canvas.</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Pharmaceutical Science with Management Studies</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Pharmaceutical Science with Management Studies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Manufacture and Clinical Trials of Medicines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CH7060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Pharmaceutical and Analytical Technology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CH7050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Statistics and Quality Systems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Pharmaceutical Science with Management Studies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Pharmaceutical Science with Management Studies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Manufacture and Clinical Trials of Medicines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CH7060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Pharmaceutical and Analytical Technology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CH7050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Statistics and Quality Systems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4"/>
          <w:szCs w:val="24"/>
        </w:rPr>
        <w:t xml:space="preserve">The course utilises a wide range of teaching and learning methods that will enable all students to be actively engaged throughout the course. Teaching and learning and assessment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Pr="503DC450" w:rsidP="007D20BC">
      <w:pPr>
        <w:rPr>
          <w:rFonts w:ascii="Arial" w:hAnsi="Arial" w:cs="Arial"/>
          <w:sz w:val="22"/>
          <w:szCs w:val="22"/>
        </w:rPr>
      </w:pPr>
      <w:r w:rsidRPr="503DC450">
        <w:rPr>
          <w:rFonts w:ascii="Arial" w:hAnsi="Arial" w:cs="Arial"/>
          <w:sz w:val="24"/>
          <w:szCs w:val="24"/>
        </w:rPr>
        <w:t>The assessment regime for each module  provide formative opportunities. A range of assessment methods will be used that enable students to demonstrate the acquisition of knowledge and skills alongwith opportunities for feedback and ‘feedforward’ in each module that will allow students to enhance their performance in the summative assessments. All assessment procedures and criteria have been designed at level 7 and are indicated in the assessment strategy for all modules offered within the programme. Assessment methods include course work, oral presentations, in-class tests, tests comprising of multiple choice questions (MCQs), examinations, laboratory reports and poster presentations. Care has been taken to avoid assessment bunching. The team make use of technology enhanced learning to improve the student experience and facilitate feedback.  Examples include electronic marking and oral feedback via Grademark</w:t>
      </w:r>
      <w:r w:rsidRPr="503DC450">
        <w:rPr>
          <w:rFonts w:ascii="Arial" w:hAnsi="Arial" w:cs="Arial"/>
          <w:sz w:val="24"/>
          <w:szCs w:val="24"/>
          <w:vertAlign w:val="superscript"/>
        </w:rPr>
        <w:t>®</w:t>
      </w:r>
      <w:r w:rsidRPr="503DC450">
        <w:rPr>
          <w:rFonts w:ascii="Arial" w:hAnsi="Arial" w:cs="Arial"/>
          <w:sz w:val="24"/>
          <w:szCs w:val="24"/>
        </w:rPr>
        <w:t xml:space="preserve">, online assessments and bespoke assignments produced using excel and visual basic to enable a quick turnaround of  marked  material such as problem-solving practical assignments. Electronic feedback in pdf format is sent directly to the students email account. 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4"/>
          <w:szCs w:val="24"/>
        </w:rPr>
        <w:t>All of the Course team are research active and regularly publish their work in peer reviewed journals. This research expertise is applied to respective modules i.e. research informed teaching on topics such as formulation and delivery of plasmid DNA and subunit vaccines delivered in CH7060, stability of therapeutic drugs in CH7010 and thermal analysis of pharmaceuticals (polymorphism, purity, degradation) in CH7050 and formulations of solid dosage forms in CH7050 are a few examples.</w:t>
      </w:r>
      <w:r w:rsidRPr="503DC450">
        <w:rPr>
          <w:rFonts w:ascii="Arial" w:hAnsi="Arial" w:cs="Arial"/>
          <w:sz w:val="22"/>
          <w:szCs w:val="22"/>
        </w:rPr>
        <w:t xml:space="preserve"> </w:t>
      </w:r>
      <w:r w:rsidRPr="503DC450">
        <w:rPr>
          <w:rFonts w:ascii="Arial" w:hAnsi="Arial" w:cs="Arial"/>
          <w:sz w:val="24"/>
          <w:szCs w:val="24"/>
        </w:rPr>
        <w:t xml:space="preserve">Many hold or have held leading positions in the field such as Hon. Secretary of Royal Society of Chemistry’s (RSC) Analytical Division, Members of the RSC or Pharmaceutical Science professional bodies, Chartered Chemists/EurChem/Chartered Scientists and have professional teaching qualifications such as PGCE(HE).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4"/>
          <w:szCs w:val="24"/>
        </w:rPr>
        <w:t>Students are supported by:</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Module Leader for each module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Course Director to help students understand the programme structure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Personal Tutors to provide academic and personal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A project “placement” tutor to give general advice on placements and visit students</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Technical support to advise students on IT and the use of software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designated programme administrator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An induction and orientation programme at the beginning of each new academic year. This includes an induction to the University, the School, Learning Resource Centre, the Graduate Centre, the Kingston University Student Union, University and School pastoral support and ancillary services</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Staff Student Consultative Committee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Canvas – a versatile on-line interactive intranet learning environment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substantial Study Skills Centre that provides academic skills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Student support facilities that provide advice on issues such as finance, regulations, legal matters, accommodation, international student support etc.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Disabled student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The Students’ Union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Careers and Employability Service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4"/>
          <w:szCs w:val="24"/>
        </w:rPr>
        <w:t>The University has several methods for evaluating and improving the quality and standards of its provision.  These include: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External examiners</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 xml:space="preserve">Boards of study with student representation </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 xml:space="preserve">Annual Monitoring and Enhancement </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Periodic review undertaken at subject level</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 xml:space="preserve">Student evaluation including EMF, SSCC and MEQs, </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Moderation policies</w:t>
      </w:r>
    </w:p>
    <w:p w:rsidRPr="503DC450" w:rsidP="00A92C9B">
      <w:pPr>
        <w:numPr>
          <w:ilvl w:val="0"/>
          <w:numId w:val="19"/>
        </w:numPr>
        <w:ind w:left="720" w:hanging="360"/>
        <w:jc w:val="left"/>
        <w:rPr>
          <w:rFonts w:ascii="Arial" w:hAnsi="Arial" w:cs="Arial"/>
          <w:sz w:val="22"/>
          <w:szCs w:val="22"/>
        </w:rPr>
      </w:pPr>
      <w:r w:rsidRPr="503DC450">
        <w:rPr>
          <w:rFonts w:ascii="Arial" w:hAnsi="Arial" w:cs="Arial"/>
          <w:sz w:val="24"/>
          <w:szCs w:val="24"/>
        </w:rPr>
        <w:t>Feedback from employers</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pStyle w:val="MsoBodyText"/>
        <w:rPr>
          <w:rFonts w:ascii="Arial" w:hAnsi="Arial" w:cs="Arial"/>
          <w:sz w:val="22"/>
          <w:szCs w:val="22"/>
        </w:rPr>
      </w:pPr>
      <w:r w:rsidRPr="503DC450">
        <w:rPr>
          <w:rFonts w:ascii="Arial" w:hAnsi="Arial" w:cs="Arial"/>
          <w:sz w:val="24"/>
          <w:szCs w:val="24"/>
        </w:rPr>
        <w:t xml:space="preserve">In the 2017 Departmetal Internal Subject Review of Pharmaceutical Sciences and Chemistry courses took place. </w:t>
      </w:r>
      <w:r w:rsidRPr="503DC450">
        <w:rPr>
          <w:rFonts w:ascii="Arial" w:hAnsi="Arial" w:cs="Arial"/>
          <w:sz w:val="24"/>
          <w:szCs w:val="24"/>
        </w:rPr>
        <w:t>The review team commended the subject team on several strengths in the provision:</w:t>
      </w:r>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 xml:space="preserve">The proactivity and agility of the academic staff that ensure the delivery of, high quality contemporary programmes. </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 xml:space="preserve">The quality of the current students and graduates and their engagement with the review team during the meeting. </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 xml:space="preserve">The approachability of staff which was particularly raised by students and graduates in both academic and pastoral care. </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The review team noted the following areas of good practice:</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The clear organisational structure for quality assurance and governance offering inclusivity to student representatives.</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 xml:space="preserve">The wide range of assessments including course work, presentations, exams and essays. </w:t>
      </w:r>
    </w:p>
    <w:p w:rsidRPr="503DC450" w:rsidP="00A92C9B">
      <w:pPr>
        <w:numPr>
          <w:ilvl w:val="0"/>
          <w:numId w:val="20"/>
        </w:numPr>
        <w:ind w:left="720" w:hanging="360"/>
        <w:jc w:val="left"/>
        <w:rPr>
          <w:rFonts w:ascii="Arial" w:hAnsi="Arial" w:cs="Arial"/>
          <w:sz w:val="22"/>
          <w:szCs w:val="22"/>
        </w:rPr>
      </w:pPr>
      <w:r w:rsidRPr="503DC450">
        <w:rPr>
          <w:rFonts w:ascii="Arial" w:hAnsi="Arial" w:cs="Arial"/>
          <w:sz w:val="24"/>
          <w:szCs w:val="24"/>
        </w:rPr>
        <w:t>The mentoring scheme which provides cohort identity and additional support</w:t>
      </w:r>
    </w:p>
    <w:p w:rsidRPr="503DC450" w:rsidP="00A92C9B">
      <w:pPr>
        <w:numPr>
          <w:ilvl w:val="0"/>
          <w:numId w:val="21"/>
        </w:numPr>
        <w:ind w:left="720" w:hanging="360"/>
        <w:jc w:val="left"/>
        <w:rPr>
          <w:rFonts w:ascii="Arial" w:hAnsi="Arial" w:cs="Arial"/>
          <w:sz w:val="22"/>
          <w:szCs w:val="22"/>
        </w:rPr>
      </w:pPr>
      <w:r w:rsidRPr="503DC450">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503DC450" w:rsidP="00A92C9B">
      <w:pPr>
        <w:numPr>
          <w:ilvl w:val="0"/>
          <w:numId w:val="21"/>
        </w:numPr>
        <w:ind w:left="720" w:hanging="360"/>
        <w:jc w:val="left"/>
        <w:rPr>
          <w:rFonts w:ascii="Arial" w:hAnsi="Arial" w:cs="Arial"/>
          <w:sz w:val="22"/>
          <w:szCs w:val="22"/>
        </w:rPr>
      </w:pPr>
      <w:r w:rsidRPr="503DC450">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rsidRPr="503DC450" w:rsidP="00A92C9B">
      <w:pPr>
        <w:numPr>
          <w:ilvl w:val="0"/>
          <w:numId w:val="21"/>
        </w:numPr>
        <w:ind w:left="720" w:hanging="360"/>
        <w:jc w:val="left"/>
        <w:rPr>
          <w:rFonts w:ascii="Arial" w:hAnsi="Arial" w:cs="Arial"/>
          <w:sz w:val="22"/>
          <w:szCs w:val="22"/>
        </w:rPr>
      </w:pPr>
      <w:r w:rsidRPr="503DC450">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Heading1"/>
        <w:outlineLvl w:val="0"/>
        <w:rPr>
          <w:rFonts w:ascii="Arial" w:hAnsi="Arial" w:cs="Arial"/>
          <w:sz w:val="22"/>
          <w:szCs w:val="22"/>
        </w:rPr>
      </w:pPr>
      <w:r w:rsidRPr="503DC450">
        <w:rPr>
          <w:rFonts w:ascii="Arial" w:hAnsi="Arial" w:cs="Arial"/>
          <w:color w:val="000000"/>
          <w:sz w:val="24"/>
          <w:szCs w:val="24"/>
          <w:shd w:val="clear" w:color="auto" w:fill="FFFFFF"/>
        </w:rPr>
        <w:t xml:space="preserve">The chemical and pharmaceutical industry is one of the UK’s largest and most successful manufacturing sectors, contributing about £18.3 billion a year of Added Value to the UK’s Gross Domestic Product (Chemical industry in the UK - statistics &amp; facts, 2019*). </w:t>
      </w:r>
      <w:r w:rsidRPr="503DC450">
        <w:rPr>
          <w:rFonts w:ascii="Arial" w:hAnsi="Arial" w:cs="Arial"/>
          <w:color w:val="000000"/>
          <w:sz w:val="24"/>
          <w:szCs w:val="24"/>
          <w:shd w:val="clear" w:color="auto" w:fill="FFFFFF"/>
        </w:rPr>
        <w:t>The MSc in Pharmaceutical Science with Management Studies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as managers, entrepreneurs, or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rsidRPr="503DC450" w:rsidP="001A372B">
      <w:pPr>
        <w:jc w:val="both"/>
        <w:rPr>
          <w:rFonts w:ascii="Arial" w:hAnsi="Arial" w:cs="Arial"/>
          <w:sz w:val="22"/>
          <w:szCs w:val="22"/>
        </w:rPr>
      </w:pPr>
      <w:r w:rsidRPr="503DC450">
        <w:rPr>
          <w:rFonts w:ascii="Arial" w:hAnsi="Arial" w:cs="Arial"/>
          <w:sz w:val="24"/>
          <w:szCs w:val="24"/>
        </w:rPr>
        <w:t>Research and development opportunities are extensive and varied, and include development of novel medical and veterinary diagnostic and therapeutic technologies, targeted and controlled drug delivery and other applications which  involve biotechnology e.g. formulation of conventional as well as plasmid and subunit antigen vaccines.</w:t>
      </w:r>
    </w:p>
    <w:p w:rsidRPr="503DC450" w:rsidP="001A372B">
      <w:pPr>
        <w:jc w:val="both"/>
        <w:rPr>
          <w:rFonts w:ascii="Arial" w:hAnsi="Arial" w:cs="Arial"/>
          <w:sz w:val="22"/>
          <w:szCs w:val="22"/>
        </w:rPr>
      </w:pPr>
      <w:r w:rsidRPr="503DC450">
        <w:rPr>
          <w:rFonts w:ascii="Arial" w:hAnsi="Arial" w:cs="Arial"/>
          <w:sz w:val="22"/>
          <w:szCs w:val="22"/>
        </w:rPr>
        <w:t>-------------------------------------------------------------</w:t>
      </w:r>
    </w:p>
    <w:p w:rsidRPr="503DC450" w:rsidP="001A372B">
      <w:pPr>
        <w:jc w:val="both"/>
        <w:rPr>
          <w:rFonts w:ascii="Arial" w:hAnsi="Arial" w:cs="Arial"/>
          <w:sz w:val="22"/>
          <w:szCs w:val="22"/>
        </w:rPr>
      </w:pPr>
      <w:r w:rsidRPr="503DC450">
        <w:rPr>
          <w:rFonts w:ascii="Arial" w:hAnsi="Arial" w:cs="Arial"/>
          <w:sz w:val="22"/>
          <w:szCs w:val="22"/>
        </w:rPr>
        <w:t>*</w:t>
      </w:r>
      <w:r w:rsidRPr="503DC450">
        <w:rPr>
          <w:rFonts w:ascii="Arial" w:hAnsi="Arial" w:cs="Arial"/>
          <w:sz w:val="22"/>
          <w:szCs w:val="22"/>
        </w:rPr>
        <w:t xml:space="preserve"> </w:t>
      </w:r>
      <w:hyperlink r:id="rId12" w:history="1">
        <w:r w:rsidRPr="503DC450">
          <w:rPr>
            <w:rFonts w:ascii="Arial" w:hAnsi="Arial" w:cs="Arial"/>
            <w:sz w:val="22"/>
            <w:szCs w:val="22"/>
          </w:rPr>
          <w:t>https://www.statista.com/topics/5599/chemical-industry-in-the-uk/</w:t>
        </w:r>
      </w:hyperlink>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4"/>
          <w:szCs w:val="24"/>
        </w:rPr>
        <w:t>One of the key employability skills at the postgraduate level is: articulation and demonstration of scientific knowledge on a chosen topic which is directly addressed in module CH7050 and also in CH7060 where students are required to present their work orally. Career in research is addressed in module CH7010 where students learn to use wide range of research techniques and make scientific communications involving critical analysis through the report and practical write-up. The course offers an opportunity to enhance knowledge and to develop hands-on practical skills through modules such as CH7010, CH7050 and also through project module CH7100. Management skills are taught in CI7600 module. Past students have gained employment in the pharmaceutical industry, including Pfizer, GlaxoSmithKline, Wockhardt, contract research organisations such as PRA, Bristol labs. Several students have managed to obtain funded PhD positions in well reputed educational institutions across the UK and abroad.</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ind w:left="720"/>
        <w:rPr>
          <w:rFonts w:ascii="Arial" w:hAnsi="Arial" w:cs="Arial"/>
          <w:sz w:val="22"/>
          <w:szCs w:val="22"/>
        </w:rPr>
      </w:pPr>
      <w:r w:rsidRPr="503DC450">
        <w:rPr>
          <w:rFonts w:ascii="Arial" w:hAnsi="Arial" w:cs="Arial"/>
          <w:sz w:val="22"/>
          <w:szCs w:val="22"/>
        </w:rPr>
        <w:t>Depending on availability, MSc research projects may be taken in industry.</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hyperlink r:id="rId13" w:history="1">
        <w:r w:rsidRPr="503DC450">
          <w:rPr>
            <w:rFonts w:ascii="Arial" w:hAnsi="Arial" w:cs="Arial"/>
            <w:sz w:val="22"/>
            <w:szCs w:val="22"/>
            <w:u w:val="single"/>
          </w:rPr>
          <w:t>http://www.kingston.ac.uk/postgraduate-course/pharmaceutical-science-management-msc/</w:t>
        </w:r>
      </w:hyperlink>
      <w:r w:rsidRPr="503DC450">
        <w:rPr>
          <w:rFonts w:ascii="Arial" w:hAnsi="Arial" w:cs="Arial"/>
          <w:i/>
          <w:iCs/>
          <w:sz w:val="22"/>
          <w:szCs w:val="22"/>
        </w:rPr>
        <w:t xml:space="preserve">  </w:t>
      </w:r>
    </w:p>
    <w:p w:rsidRPr="503DC450" w:rsidP="00A92C9B">
      <w:pPr>
        <w:jc w:val="both"/>
        <w:rPr>
          <w:rFonts w:ascii="Arial" w:hAnsi="Arial" w:cs="Arial"/>
          <w:sz w:val="22"/>
          <w:szCs w:val="22"/>
        </w:rPr>
      </w:pPr>
      <w:r w:rsidRPr="503DC450">
        <w:rPr>
          <w:rFonts w:ascii="Arial" w:hAnsi="Arial" w:cs="Arial"/>
          <w:sz w:val="22"/>
          <w:szCs w:val="22"/>
        </w:rPr>
        <w:t xml:space="preserve">The Faculty of Science, Engineering and Computing: </w:t>
      </w:r>
      <w:hyperlink r:id="rId14" w:history="1">
        <w:r w:rsidRPr="503DC450">
          <w:rPr>
            <w:rFonts w:ascii="Arial" w:hAnsi="Arial" w:cs="Arial"/>
            <w:sz w:val="22"/>
            <w:szCs w:val="22"/>
            <w:u w:val="single"/>
          </w:rPr>
          <w:t>http://sec.kingston.ac.uk/</w:t>
        </w:r>
      </w:hyperlink>
    </w:p>
    <w:p w:rsidRPr="503DC450" w:rsidP="00A92C9B">
      <w:pPr>
        <w:jc w:val="both"/>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The School of Pharmacy and Chemistry: </w:t>
      </w:r>
      <w:hyperlink r:id="rId15" w:history="1">
        <w:r w:rsidRPr="503DC450">
          <w:rPr>
            <w:rFonts w:ascii="Arial" w:hAnsi="Arial" w:cs="Arial"/>
            <w:sz w:val="22"/>
            <w:szCs w:val="22"/>
            <w:u w:val="single"/>
          </w:rPr>
          <w:t>http://sec.kingston.ac.uk/about-SEC/schools/pharmacy-and-chemistry/</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95"/>
        <w:gridCol w:w="706"/>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Light" w:eastAsia="Times New Roman" w:hAnsi="Calibri Light" w:cs="Times New Roman"/>
      <w:color w:val="2F5496" w:themeShade="BF"/>
      <w:sz w:val="32"/>
      <w:szCs w:val="32"/>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
    <w:name w:val="MsoBodyText"/>
    <w:basedOn w:val="Normal"/>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ngston.ac.uk/postgraduate-course/pharmaceutical-science-management-msc/"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statista.com/topics/5599/chemical-industry-in-the-uk/" TargetMode="Externa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hyperlink" Target="http://sec.kingston.ac.uk/about-SEC/schools/pharmacy-and-chemistry/" TargetMode="Externa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hyperlink" Target="http://sec.kingston.ac.uk/" TargetMode="External"/><Relationship Id="rId4" Type="http://schemas.openxmlformats.org/officeDocument/2006/relationships/customXml" Target="../customXml/item1.xml"/><Relationship Id="rId9" Type="http://schemas.openxmlformats.org/officeDocument/2006/relationships/hyperlink" Target="http://www.qaa.ac.uk/quality-code/the-existing-uk-quality-code/part-a-setting-and-maintaining-academic-standard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83E09A7-7CA7-4B4A-8E69-CA73563DEC5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