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Science with Management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Management Studies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Science with Management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Science with Management Studies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PFPSM1PSM01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Management Studies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Science with Management Studies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Science with Management Studies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PFPSM1PSM99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postgraduate regulations.</w:t>
            </w: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MSc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possess an in-depth knowledge of the core elements of pharmaceutical science and their applications in industry and research.</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analytical and evaluative skills for management decision making and to build an awareness of the requirements of management expertise in different business and organisational contexts.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problem-solving, practical, IT and key (transferable) skills derived from the collection, analysis, interpretation and representation of data and information in preparation for their careers in a variety of work environments.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critical awareness of the aspects concerning clinical trials, post-marketing pharmacovigilance and regulatory affairs of drug products manufactured within the pharmaceutical industry.</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 by enabling them to engage with current research methods and techniques.</w:t>
      </w:r>
    </w:p>
    <w:p w:rsidRPr="2030048C" w:rsidP="2030048C">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the aims of the professional placement module are:</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fully understand how to prepare a research report and poster in the correct format and to have an active engagement and familiarity with recent and current research methods, results and publications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understanding of the challenges concerning  pharmaceutical industry, and with reflection and recall of both theoretical and practical skills, be able to contemplate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controlled experiments to investigate qualitative and/or quantitative characteristics of pharmaceuticals and apply and adapt problem solving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fully understand how a research project operates and undertake research in a logical and safe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carry out and report investigations with an effective self-critical attitude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the pharmaceutical industry and acquire the specialised knowledge to face those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comprehensive knowledge of the use of IT and predictive systems that are used to produce and evaluate drug molecules and medicinal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financial risk and decision making within a business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used in the manufacturing of medicines for use by patients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leadership skills in order to meet business challenges and cope with its complexity and to exhibit competence in a set of analytical and evaluative management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and self-managed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implement good scientific and consistent practice, reliably recording methods and results using appropriate methods to critically analyse the data and statistically evaluate the level of its uncertainty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knowledge of the principles and concepts within pharmaceutical science and acquire competence in the  development, selection, and use of a range of pharmaceutical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appropriate techniques and procedures for undertaking scientific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operating in an efficient manner the techniques used widely in the analytical and pharmaceutical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pharmaceutical scientist in a variety of work environments and possess a clear understanding of the ethical, legal and commercial responsibilities of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the more complex problems that can arise during the theoretical and/or experimental investigations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subjectspecific practical work safely and understand the safety requirements  which include generating CoSHH 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specialist knowledge on quality assurance/control of pharmaceuticals in addition to acquiring specialist knowledge of advanced analytical techniques and specialised applications of those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scientific data from a variety of sources, discern and establish correlations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a strategic analysis of commercial operations within a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Relate academic theory to practice and apply knowledge and skills in a professional context. </w:t>
              <w:tab/>
              <w:t>Autonomously evaluate tasks set in the work place and apply effective communication and problem-solving initiatives to achieve the best outcome for the employer.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on module pages within Canvas.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Management Studies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Management Studies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Manufacture and Clinical Trials of Medicines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Statistics and Quality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Management Studies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Management Studies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Manufacture and Clinical Trials of Medicines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Statistics and Quality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visits and guest lecturers from industry professionals.</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A Course Director to help students understand the programme structure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Personal Tutors to provide academic and personal support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project “placement” tutor to give general advice on placements and visit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Technical support to advise students on IT and the use of software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A designated programme administrator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and orientation programme at the beginning of each new academic year. This includes an induction to the University, the School, Learning Resource Centre, the Graduate Centre, the Kingston University Student Union, University and School pastoral support and ancillary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Staff Student Consultative Committee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Canvas – a versatile on-line interactive intranet learning environment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A substantial Study Skills Centre that provides academic skills support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such as finance, regulations, legal matters, accommodation, international student support etc.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Disabled student support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The Kingston Students’ Union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Continuous Monitoring of courses through the Kingston Course Enhancement Programme (KCEP)</w:t>
      </w:r>
    </w:p>
    <w:p w:rsidR="3D0EBCB8" w:rsidRPr="2030048C" w:rsidP="2030048C">
      <w:pPr>
        <w:rPr>
          <w:rFonts w:ascii="Arial" w:eastAsia="Arial" w:hAnsi="Arial" w:cs="Arial"/>
          <w:sz w:val="24"/>
          <w:szCs w:val="24"/>
        </w:rPr>
      </w:pPr>
      <w:r w:rsidRPr="2030048C">
        <w:rPr>
          <w:rFonts w:ascii="Arial" w:eastAsia="Arial" w:hAnsi="Arial" w:cs="Arial"/>
          <w:sz w:val="24"/>
          <w:szCs w:val="24"/>
        </w:rPr>
        <w:t>· Student evaluation including Module Evaluation Questionnaires (MEQs)</w:t>
      </w:r>
    </w:p>
    <w:p w:rsidR="3D0EBCB8" w:rsidRPr="2030048C" w:rsidP="2030048C">
      <w:pPr>
        <w:rPr>
          <w:rFonts w:ascii="Arial" w:eastAsia="Arial" w:hAnsi="Arial" w:cs="Arial"/>
          <w:sz w:val="24"/>
          <w:szCs w:val="24"/>
        </w:rPr>
      </w:pPr>
      <w:r w:rsidRPr="2030048C">
        <w:rPr>
          <w:rFonts w:ascii="Arial" w:eastAsia="Arial" w:hAnsi="Arial" w:cs="Arial"/>
          <w:sz w:val="24"/>
          <w:szCs w:val="24"/>
        </w:rPr>
        <w:t>· 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External employer engagement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17"/>
          <w:szCs w:val="17"/>
        </w:rPr>
        <w:t>QAA Subject benchmarks- https://www.qaa.ac.uk/the-quality-code/subject-benchmark-statements/chemistry</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 course is offered with a Sept and Jan start.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51B0892-57F6-49B3-9521-9948E713EC0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