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BSc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Forensic Science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29/10/2023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04/03/2024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04/03/2024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7</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Applied &amp; Human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BSc (Hons)</w:t>
            </w:r>
            <w:r w:rsidRPr="01DA1EA0">
              <w:rPr>
                <w:rFonts w:ascii="Arial" w:hAnsi="Arial" w:cs="Arial"/>
                <w:sz w:val="22"/>
                <w:szCs w:val="22"/>
              </w:rPr>
              <w:t xml:space="preserve"> </w:t>
            </w:r>
            <w:r w:rsidRPr="01DA1EA0">
              <w:rPr>
                <w:rFonts w:ascii="Arial" w:hAnsi="Arial" w:cs="Arial"/>
                <w:sz w:val="22"/>
                <w:szCs w:val="22"/>
              </w:rPr>
              <w:t>Forensic Science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 HE Forensic Science</w:t>
            </w:r>
            <w:r>
              <w:br/>
            </w:r>
            <w:r w:rsidRPr="01DA1EA0" w:rsidR="12C816DE">
              <w:rPr>
                <w:rFonts w:ascii="Arial" w:hAnsi="Arial" w:cs="Arial"/>
                <w:sz w:val="22"/>
                <w:szCs w:val="22"/>
              </w:rPr>
              <w:t>BSc Forensic Science</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UPFSC1FSC20</w:t>
            </w:r>
          </w:p>
          <w:p w:rsidR="72431AC7" w:rsidP="01DA1EA0" w14:paraId="6CCD9CAD" w14:textId="7FB53094">
            <w:r w:rsidRPr="01DA1EA0">
              <w:rPr>
                <w:rFonts w:ascii="Arial" w:hAnsi="Arial" w:cs="Arial"/>
                <w:sz w:val="22"/>
                <w:szCs w:val="22"/>
              </w:rPr>
              <w:t>UFFSC1FSC01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BSc (Hons)</w:t>
            </w:r>
            <w:r w:rsidRPr="01DA1EA0">
              <w:rPr>
                <w:rFonts w:ascii="Arial" w:hAnsi="Arial" w:cs="Arial"/>
                <w:sz w:val="22"/>
                <w:szCs w:val="22"/>
              </w:rPr>
              <w:t xml:space="preserve"> </w:t>
            </w:r>
            <w:r w:rsidRPr="01DA1EA0">
              <w:rPr>
                <w:rFonts w:ascii="Arial" w:hAnsi="Arial" w:cs="Arial"/>
                <w:sz w:val="22"/>
                <w:szCs w:val="22"/>
              </w:rPr>
              <w:t>Forensic Science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Cert HE Forensic Science</w:t>
            </w:r>
            <w:r>
              <w:br/>
            </w:r>
            <w:r w:rsidRPr="01DA1EA0" w:rsidR="12C816DE">
              <w:rPr>
                <w:rFonts w:ascii="Arial" w:hAnsi="Arial" w:cs="Arial"/>
                <w:sz w:val="22"/>
                <w:szCs w:val="22"/>
              </w:rPr>
              <w:t>BSc Forensic Science</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BSc (Hons)</w:t>
            </w:r>
            <w:r w:rsidRPr="01DA1EA0">
              <w:rPr>
                <w:rFonts w:ascii="Arial" w:hAnsi="Arial" w:cs="Arial"/>
                <w:sz w:val="22"/>
                <w:szCs w:val="22"/>
              </w:rPr>
              <w:t xml:space="preserve"> </w:t>
            </w:r>
            <w:r w:rsidRPr="01DA1EA0">
              <w:rPr>
                <w:rFonts w:ascii="Arial" w:hAnsi="Arial" w:cs="Arial"/>
                <w:sz w:val="22"/>
                <w:szCs w:val="22"/>
              </w:rPr>
              <w:t>Forensic Science (with Foundation Year)</w:t>
            </w:r>
          </w:p>
          <w:p w:rsidR="72431AC7" w:rsidP="72431AC7" w14:textId="77777777">
            <w:pPr>
              <w:rPr>
                <w:rFonts w:ascii="Arial" w:hAnsi="Arial" w:cs="Arial"/>
                <w:sz w:val="22"/>
                <w:szCs w:val="22"/>
              </w:rPr>
            </w:pPr>
          </w:p>
        </w:tc>
      </w:tr>
      <w:tr w14:paraId="34BB979D"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Cert HE Forensic Science</w:t>
            </w:r>
            <w:r>
              <w:br/>
            </w:r>
            <w:r w:rsidRPr="01DA1EA0" w:rsidR="12C816DE">
              <w:rPr>
                <w:rFonts w:ascii="Arial" w:hAnsi="Arial" w:cs="Arial"/>
                <w:sz w:val="22"/>
                <w:szCs w:val="22"/>
              </w:rPr>
              <w:t>BSc Forensic Science</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4"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A"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9</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lang w:val="en-US" w:eastAsia="en-US"/>
              </w:rPr>
            </w:pPr>
            <w:r>
              <w:rPr>
                <w:rStyle w:val="normaltextrun"/>
                <w:rFonts w:ascii="Arial" w:hAnsi="Arial" w:cs="Arial"/>
                <w:color w:val="000000"/>
                <w:sz w:val="22"/>
                <w:szCs w:val="22"/>
                <w:shd w:val="clear" w:color="auto" w:fill="FFFFFF"/>
                <w:lang w:val="en-US" w:eastAsia="en-US"/>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P="0BF386EB">
            <w:pPr>
              <w:rPr>
                <w:rStyle w:val="normaltextrun"/>
                <w:rFonts w:ascii="Arial" w:hAnsi="Arial" w:cs="Arial"/>
                <w:color w:val="000000"/>
                <w:sz w:val="22"/>
                <w:szCs w:val="22"/>
                <w:shd w:val="clear" w:color="auto" w:fill="FFFFFF"/>
                <w:lang w:val="en-US" w:eastAsia="en-US"/>
              </w:rPr>
            </w:pPr>
            <w:r>
              <w:rPr>
                <w:rStyle w:val="normaltextrun"/>
                <w:rFonts w:ascii="Arial" w:hAnsi="Arial" w:cs="Arial"/>
                <w:color w:val="000000"/>
                <w:sz w:val="22"/>
                <w:szCs w:val="22"/>
                <w:shd w:val="clear" w:color="auto" w:fill="FFFFFF"/>
                <w:lang w:val="en-US" w:eastAsia="en-US"/>
              </w:rPr>
              <w:t> Additionally, all non-UK applicants must meet our English language requirements. </w:t>
            </w:r>
          </w:p>
          <w:p w:rsidP="0BF386EB">
            <w:pPr>
              <w:rPr>
                <w:rStyle w:val="normaltextrun"/>
                <w:rFonts w:ascii="Arial" w:hAnsi="Arial" w:cs="Arial"/>
                <w:color w:val="000000"/>
                <w:sz w:val="22"/>
                <w:szCs w:val="22"/>
                <w:shd w:val="clear" w:color="auto" w:fill="FFFFFF"/>
                <w:lang w:val="en-US" w:eastAsia="en-US"/>
              </w:rPr>
            </w:pPr>
            <w:r>
              <w:rPr>
                <w:rStyle w:val="normaltextrun"/>
                <w:rFonts w:ascii="Arial" w:hAnsi="Arial" w:cs="Arial"/>
                <w:color w:val="000000"/>
                <w:sz w:val="22"/>
                <w:szCs w:val="22"/>
                <w:shd w:val="clear" w:color="auto" w:fill="FFFFFF"/>
                <w:lang w:val="en-US" w:eastAsia="en-US"/>
              </w:rPr>
              <w:t> Please see our course pages on the Kingston University website for the most up to date entry requirements.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tbl>
            <w:tblPr>
              <w:tblStyle w:val="Table"/>
              <w:tblCellSpacing w:w="15" w:type="dxa"/>
              <w:tblCellMar>
                <w:top w:w="15" w:type="dxa"/>
                <w:left w:w="15" w:type="dxa"/>
                <w:bottom w:w="15" w:type="dxa"/>
                <w:right w:w="15" w:type="dxa"/>
              </w:tblCellMar>
              <w:tblLook w:val="05E0"/>
            </w:tblPr>
            <w:tblGrid>
              <w:gridCol w:w="3904"/>
            </w:tblGrid>
            <w:tr>
              <w:tblPrEx>
                <w:tblLook w:val="05E0"/>
              </w:tblPrEx>
              <w:tc>
                <w:tcPr>
                  <w:noWrap w:val="0"/>
                  <w:tcMar>
                    <w:top w:w="15" w:type="dxa"/>
                    <w:left w:w="15" w:type="dxa"/>
                    <w:bottom w:w="15" w:type="dxa"/>
                    <w:right w:w="15" w:type="dxa"/>
                  </w:tcMar>
                  <w:vAlign w:val="center"/>
                  <w:hideMark/>
                </w:tcPr>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Chartered Society of Forensic Sciences</w:t>
                  </w:r>
                </w:p>
              </w:tc>
            </w:tr>
          </w:tbl>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tbl>
            <w:tblPr>
              <w:tblStyle w:val="Table"/>
              <w:tblCellSpacing w:w="15" w:type="dxa"/>
              <w:tblCellMar>
                <w:top w:w="15" w:type="dxa"/>
                <w:left w:w="15" w:type="dxa"/>
                <w:bottom w:w="15" w:type="dxa"/>
                <w:right w:w="15" w:type="dxa"/>
              </w:tblCellMar>
              <w:tblLook w:val="05E0"/>
            </w:tblPr>
            <w:tblGrid>
              <w:gridCol w:w="4723"/>
            </w:tblGrid>
            <w:tr>
              <w:tblPrEx>
                <w:tblLook w:val="05E0"/>
              </w:tblPrEx>
              <w:tc>
                <w:tcPr>
                  <w:noWrap w:val="0"/>
                  <w:tcMar>
                    <w:top w:w="15" w:type="dxa"/>
                    <w:left w:w="15" w:type="dxa"/>
                    <w:bottom w:w="15" w:type="dxa"/>
                    <w:right w:w="15" w:type="dxa"/>
                  </w:tcMar>
                  <w:vAlign w:val="center"/>
                  <w:hideMark/>
                </w:tcPr>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Draft subject benchmark Forensic Science 2012</w:t>
                  </w:r>
                </w:p>
              </w:tc>
            </w:tr>
          </w:tbl>
          <w:p w:rsidR="00A92C9B" w:rsidRPr="00BF1022" w:rsidP="0BF386EB" w14:paraId="223D1A66"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None</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33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sz w:val="22"/>
          <w:szCs w:val="22"/>
          <w:shd w:val="clear" w:color="auto" w:fill="FFFFFF"/>
        </w:rPr>
        <w:t>The programme is offered as a full-time three-year degree course. Alternatively, students can choose to follow the Field part-time, and switch between full-time and part-time attendance with the permission of the Course Leader.  The course in Forensic Science is designed to offer students the opportunity to study a broad based degree in Forensic Science. A range of modules are provided by the School of Life Sciences and the School of Pharmacy and Chemistry with additional option modules from the Criminology Field. Graduates of the Field are also equipped with practical and generic key skills relevant to employment in public service, industry and research.</w:t>
      </w:r>
    </w:p>
    <w:p w:rsidRPr="007C4290" w:rsidP="00A92C9B">
      <w:pPr>
        <w:pStyle w:val="ListParagraph"/>
        <w:ind w:left="33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33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sz w:val="22"/>
          <w:szCs w:val="22"/>
          <w:shd w:val="clear" w:color="auto" w:fill="FFFFFF"/>
        </w:rPr>
        <w:t xml:space="preserve">Level four shares a number of modules with several other degree courses within the School of Life Sciences, providing essential theory and practical skills essential for later study.  Level five of the offers three core modules and an option module in key areas of Forensic Science as well as in skills relevant to research.  Level six builds upon earlier subject material and examines more advanced and specialised areas of Forensic Science. In the final year, students also undertake a research project or dissertation. </w:t>
      </w:r>
    </w:p>
    <w:p w:rsidRPr="007C4290" w:rsidP="00A92C9B">
      <w:pPr>
        <w:pStyle w:val="ListParagraph"/>
        <w:ind w:left="33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Aims of the Programme</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provide all students who take the Forensic Science programme, with an in-depth knowledge and understanding of the core elements of Forensic Science;</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develop extensive and varied subject related practical skills and professional competence in the collection, analysis, interpretation and representation of scientific data and information;</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afford students opportunities to develop their written and oral communication skills;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prepare students for graduate employment, research, further study and lifelong learning by developing their intellectual, problem solving, practical and key (transferable) skills;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provide the students with an understanding of the relationship between different areas of expertise within Forensic Science and to understand the necessity to employ different approaches in different cases and circumstances;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produce undergraduates with a knowledge and skills base that allow pursuit of both scientific and non-scientific careers in a variety of work environments such as general analytical or forensic laboratories, the police or public services;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to give students the experience of interacting with forensic scientists, police officers, lawyers and others during site visits to laboratories, courts of law etc. and the involvement of specialist guest speakers.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In addition students on the full-field programme will be able to select option modules:</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extend the students’ knowledge into additional subjects closely related to Forensic Science.</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to enable students to identify, locate and critically appraise primary and secondary sources as a basis for independent study and to conduct a major science research project in the final year;</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  The programme outcomes are referenced to the QAA subject benchmark for Forensic Science (QAA benchmark document in draft form for consultation in 2012) and the Framework for Higher Education Qualifications in England, Wales and Northern Ireland (2008), and relate to the 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role of forensic scientists, scene of crime officers, lawyers and others in the investigation of a crime;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interpret information from both primary and secondary sources, including experimental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subject-related practical work safely and understand ethical and safety issues, including implications of copyright and data protection, preparing completed CoSHH forms and conducting risk assessments and the correct handling of a range of materials and samples;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comparison and assessment of a variety of analytical methodologies and instrumentation with regard to performance and applicability;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conduct and report on an individual research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select and use in an efficient manner the techniques used widely in the forensic field;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underpinning scientific research methodology;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and critically evaluate data from a variety of sources (including academic literature) and discern and establish connections;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a range of complex instruments and understand their technological basis;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procedures of evidence collection and preservation with respect to various crime scene scenarios;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independent, autonomous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be conversant with the detailed and strict requirements of facilities and procedures used in forensic science including health and safety and quality assurance;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use of analytical chemistry principles and techniques utilised in forensic investigations;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and interpretation of laboratory, field and crime scene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use of biological principles and current techniques in the analysis of a broad range of biological evidence;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understanding of the analytical challenges particular to a crime scene and exhibit;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how legal practice and policy impact on evidence collection and presentation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2"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A8</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 broad range of career paths open to science graduates and an awareness of the professional and employability skills relevant to pursuing these careers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in full-time or part-time learning mode and leads to the award of BSc Hons Forensic Science. Entry is normally at level 4 with A-level or equivalent qualifications (See section D). Transfer from a similar programme is possible at level 5 with passes in comparable level 4 modules – but is at the discretion of the course team.  Intake is normally in September.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BSc (Hons)</w:t>
      </w:r>
      <w:r w:rsidRPr="66934EB1">
        <w:rPr>
          <w:rFonts w:ascii="Calibri Light" w:eastAsia="Calibri Light" w:hAnsi="Calibri Light" w:cs="Calibri Light"/>
        </w:rPr>
        <w:t xml:space="preserve"> </w:t>
      </w:r>
      <w:r w:rsidRPr="66934EB1">
        <w:rPr>
          <w:rFonts w:ascii="Calibri Light" w:eastAsia="Calibri Light" w:hAnsi="Calibri Light" w:cs="Calibri Light"/>
        </w:rPr>
        <w:t>Forensic Science</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BSc (Hons)</w:t>
            </w:r>
            <w:r w:rsidRPr="66934EB1">
              <w:rPr>
                <w:rFonts w:ascii="Arial" w:eastAsia="Arial" w:hAnsi="Arial" w:cs="Arial"/>
                <w:b/>
                <w:bCs/>
              </w:rPr>
              <w:t xml:space="preserve"> </w:t>
            </w:r>
            <w:r w:rsidRPr="66934EB1">
              <w:rPr>
                <w:rFonts w:ascii="Arial" w:eastAsia="Arial" w:hAnsi="Arial" w:cs="Arial"/>
                <w:b/>
                <w:bCs/>
              </w:rPr>
              <w:t>Forensic Science</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Analytical Techniques in Forensic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LS4012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Genes, Cells and Tissues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LS4001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Introduction to Forensic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LS4005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Scientific and Laboratory Skills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LS4003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numPr>
          <w:ilvl w:val="0"/>
          <w:numId w:val="15"/>
        </w:numPr>
        <w:ind w:left="720" w:hanging="360"/>
        <w:jc w:val="left"/>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2"/>
          <w:szCs w:val="22"/>
        </w:rPr>
        <w:t>Students exiting the programme at this point who have successfully completed 120 credits are eligible for the award of Certificate of Higher Education.</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BSc (Hons)</w:t>
            </w:r>
            <w:r w:rsidRPr="66934EB1">
              <w:rPr>
                <w:rFonts w:ascii="Arial" w:eastAsia="Arial" w:hAnsi="Arial" w:cs="Arial"/>
                <w:b/>
                <w:bCs/>
              </w:rPr>
              <w:t xml:space="preserve"> </w:t>
            </w:r>
            <w:r w:rsidRPr="66934EB1">
              <w:rPr>
                <w:rFonts w:ascii="Arial" w:eastAsia="Arial" w:hAnsi="Arial" w:cs="Arial"/>
                <w:b/>
                <w:bCs/>
              </w:rPr>
              <w:t>Forensic Science</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Analytical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CH5006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Crime Scene, Evidence, &amp; Law</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CH5008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Research and Employability Skills in Forensic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LS5025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TB1 &amp; 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r w14:paraId="5D7D13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B1728E1" w14:textId="0EF531FA">
            <w:pPr>
              <w:rPr>
                <w:rFonts w:ascii="Arial" w:eastAsia="Arial" w:hAnsi="Arial" w:cs="Arial"/>
                <w:sz w:val="20"/>
                <w:szCs w:val="20"/>
              </w:rPr>
            </w:pPr>
            <w:r w:rsidRPr="0A9EC5E3">
              <w:rPr>
                <w:rFonts w:ascii="Arial" w:eastAsia="Arial" w:hAnsi="Arial" w:cs="Arial"/>
                <w:sz w:val="20"/>
                <w:szCs w:val="20"/>
              </w:rPr>
              <w:t>Counterfeits, Fakes and Forgeries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CF6C762" w14:textId="45687EA0">
            <w:pPr>
              <w:jc w:val="center"/>
              <w:rPr>
                <w:rFonts w:ascii="Arial" w:eastAsia="Arial" w:hAnsi="Arial" w:cs="Arial"/>
                <w:sz w:val="20"/>
                <w:szCs w:val="20"/>
              </w:rPr>
            </w:pPr>
            <w:r w:rsidRPr="66934EB1">
              <w:rPr>
                <w:rFonts w:ascii="Arial" w:eastAsia="Arial" w:hAnsi="Arial" w:cs="Arial"/>
                <w:sz w:val="20"/>
                <w:szCs w:val="20"/>
              </w:rPr>
              <w:t>LS5011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CFEC962"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B2F918E"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8E3ACBA" w14:textId="5BEACE71">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AD489F6"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5BBE4BE" w14:textId="2E9CCE1A">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7BB90B" w14:textId="4816B6A1">
            <w:pPr>
              <w:jc w:val="center"/>
              <w:rPr>
                <w:rFonts w:ascii="Arial" w:eastAsia="Arial" w:hAnsi="Arial" w:cs="Arial"/>
                <w:sz w:val="20"/>
                <w:szCs w:val="20"/>
              </w:rPr>
            </w:pPr>
            <w:r w:rsidRPr="66934EB1">
              <w:rPr>
                <w:rFonts w:ascii="Arial" w:eastAsia="Arial" w:hAnsi="Arial" w:cs="Arial"/>
                <w:sz w:val="20"/>
                <w:szCs w:val="20"/>
              </w:rPr>
              <w:t>2</w:t>
            </w:r>
          </w:p>
        </w:tc>
      </w:tr>
      <w:tr w14:paraId="5D7D13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Policing and Punishment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CM5006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paraId="3F1CEAE3" w14:textId="2DF43B8C">
      <w:pPr>
        <w:rPr>
          <w:rFonts w:ascii="Arial" w:eastAsia="Arial" w:hAnsi="Arial" w:cs="Arial"/>
          <w:color w:val="FF0000"/>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BSc (Hons)</w:t>
            </w:r>
            <w:r w:rsidRPr="66934EB1">
              <w:rPr>
                <w:rFonts w:ascii="Arial" w:eastAsia="Arial" w:hAnsi="Arial" w:cs="Arial"/>
                <w:b/>
                <w:bCs/>
              </w:rPr>
              <w:t xml:space="preserve"> </w:t>
            </w:r>
            <w:r w:rsidRPr="66934EB1">
              <w:rPr>
                <w:rFonts w:ascii="Arial" w:eastAsia="Arial" w:hAnsi="Arial" w:cs="Arial"/>
                <w:b/>
                <w:bCs/>
              </w:rPr>
              <w:t>Forensic Science</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Biological Evidence - Advanced Techniques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LS6013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Forensic Chemistry and Trace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CH6010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5B3220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Forensic Science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LS6028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3</w:t>
            </w: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r w14:paraId="4893114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A0BF11B" w14:textId="7E05B115">
            <w:pPr>
              <w:rPr>
                <w:rFonts w:ascii="Arial" w:eastAsia="Arial" w:hAnsi="Arial" w:cs="Arial"/>
                <w:sz w:val="20"/>
                <w:szCs w:val="20"/>
              </w:rPr>
            </w:pPr>
            <w:r w:rsidRPr="0A9EC5E3">
              <w:rPr>
                <w:rFonts w:ascii="Arial" w:eastAsia="Arial" w:hAnsi="Arial" w:cs="Arial"/>
                <w:sz w:val="20"/>
                <w:szCs w:val="20"/>
              </w:rPr>
              <w:t>Advanced Analytical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10CE861" w14:textId="62B3DAFA">
            <w:pPr>
              <w:jc w:val="center"/>
              <w:rPr>
                <w:rFonts w:ascii="Arial" w:eastAsia="Arial" w:hAnsi="Arial" w:cs="Arial"/>
                <w:sz w:val="20"/>
                <w:szCs w:val="20"/>
              </w:rPr>
            </w:pPr>
            <w:r w:rsidRPr="66934EB1">
              <w:rPr>
                <w:rFonts w:ascii="Arial" w:eastAsia="Arial" w:hAnsi="Arial" w:cs="Arial"/>
                <w:sz w:val="20"/>
                <w:szCs w:val="20"/>
              </w:rPr>
              <w:t>CH6007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9BE22D9"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02E73B"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9F14E4F"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4CC5E4"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0E3D87D"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26FCFD"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Forensic Archaeology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LS6012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r w14:paraId="4893114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Global Terrorism and Transnational Crime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CM6017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r w:rsidRPr="66934EB1">
              <w:rPr>
                <w:rFonts w:ascii="Arial" w:eastAsia="Arial" w:hAnsi="Arial" w:cs="Arial"/>
                <w:sz w:val="20"/>
                <w:szCs w:val="20"/>
              </w:rPr>
              <w:t>3</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r w:rsidRPr="66934EB1">
              <w:rPr>
                <w:rFonts w:ascii="Arial" w:eastAsia="Arial" w:hAnsi="Arial" w:cs="Arial"/>
                <w:sz w:val="20"/>
                <w:szCs w:val="20"/>
              </w:rPr>
              <w:t>3</w:t>
            </w: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Four modules with an overall pass grade in each module</w:t>
      </w:r>
    </w:p>
    <w:p w:rsidR="035B6837" w:rsidP="66934EB1" w14:textId="2F8716AA">
      <w:pPr>
        <w:rPr>
          <w:rFonts w:ascii="Arial" w:eastAsia="Arial" w:hAnsi="Arial" w:cs="Arial"/>
          <w:color w:val="000000" w:themeColor="text1"/>
          <w:sz w:val="20"/>
          <w:szCs w:val="20"/>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BSc (Hons)</w:t>
      </w:r>
      <w:r w:rsidRPr="66934EB1">
        <w:rPr>
          <w:rFonts w:ascii="Calibri Light" w:eastAsia="Calibri Light" w:hAnsi="Calibri Light" w:cs="Calibri Light"/>
        </w:rPr>
        <w:t xml:space="preserve"> </w:t>
      </w:r>
      <w:r w:rsidRPr="66934EB1">
        <w:rPr>
          <w:rFonts w:ascii="Calibri Light" w:eastAsia="Calibri Light" w:hAnsi="Calibri Light" w:cs="Calibri Light"/>
        </w:rPr>
        <w:t>Forensic Science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BSc (Hons)</w:t>
      </w:r>
      <w:r w:rsidRPr="66934EB1">
        <w:rPr>
          <w:rFonts w:ascii="Calibri Light" w:eastAsia="Calibri Light" w:hAnsi="Calibri Light" w:cs="Calibri Light"/>
        </w:rPr>
        <w:t xml:space="preserve"> </w:t>
      </w:r>
      <w:r w:rsidRPr="66934EB1">
        <w:rPr>
          <w:rFonts w:ascii="Calibri Light" w:eastAsia="Calibri Light" w:hAnsi="Calibri Light" w:cs="Calibri Light"/>
        </w:rPr>
        <w:t>Forensic Science (with Foundation Year)</w:t>
      </w:r>
    </w:p>
    <w:p w:rsidR="008B5CAF" w:rsidRPr="008B5CAF" w:rsidP="008B5CAF" w14:textId="77777777">
      <w:pPr>
        <w:rPr>
          <w:rFonts w:eastAsia="Arial"/>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 xml:space="preserve">This field has been designed to take account of the KU Curriculum Design Principles. The course utilises a wide range of teaching and learning methods that will enable all students be actively engaged throughout the course. Teaching and learning methods are designed to suit the content and learning outcomes of the module – typically using lectures to ensure that students have the key knowledge relating to the module. Through a variety of group work, tutorials and workshops, practical and laboratory sessions students are then given the opportunity to take a proactive role in learning and develop personal and key skills.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 xml:space="preserve">A range of assessment methods will be used that enable students to demonstrate the acquisition of knowledge and skills. Methods include coursework, oral presentations, in-class tests, MCQs, examinations, laboratory reports and group activities. The assessment regime for each module has been designed to provide formative opportunities that allow students to practice and to receive feed forward on their performance in preparation for the summative assessment. Care has been taken to avoid assessment bunching. There are opportunities for synoptic assessment at levels five and six which allows students to demonstrate achievement of a range of learning outcomes from across a number of modules, particularly in core level five and six modules and the independent research project for students. Students are supported in this by their allocated personal tutor who also advises on their academic progress, decision-making and module choices. All level six students are required to complete an independent project which allows them to demonstrate and apply the knowledge and skills that they have acquired throughout the course. The project also allows students to further develop their research skills and provide them with the foundations for postgraduate study if they wish to pursue it. </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development of academic skills is embedded throughout the course and assessed both formatively and summatively. 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color w:val="000000"/>
          <w:sz w:val="22"/>
          <w:szCs w:val="22"/>
        </w:rPr>
        <w:t>The role of the personal tutor is to complement the teaching and learning strategies used by the teaching team, from levels 4-6, by fostering an academic relationship with their students that involves advising students on how best to approach their studies. This begins at level 4 by helping students to develop good academic habits - for example how best to take notes during lectures and using appropriate teaching resources to supplement lecture material.  At level 5 the personal tutor works with students to help them to understand the importance of planning and managing their studies so that they are able to cope with the academic demands at this level – for example encouraging students to read up on a topic (on their own and/or as part of a study group) prior to the lecture or tutorial. In addition to facilitating the planning and management of their studies, this approach will help students develop subject specific and generic communication skills, interpersonal skills (as it encourages discussion between student and academic) and research and information literacy skills as students will begin to access peer reviewed articles. By level 6 the relationship between students and their personal tutor will have developed enough for the tutor to be able to advise students on how to plan their studies so as to best maximise success by helping the student to identify and address their strengths and weakness when it comes to studying.</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Course Leader to help students understand the programme structure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Personal Tutors to provide academic and personal support</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placement tutor to give general advice on placements</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Technical support to advise students on IT and the sue of software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An induction week at the beginning of each new intake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The Union of Students</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Board of Study with Student representation</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Canvas – a versatile on-line interactive intranet and learning environment</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A substantial Study Skills Centre that provides academic skills support</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 and designated SEC student support staff to assist with mitigation and pastoral care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Support Services for Student with disabilities or learning difficulties</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Careers and Employability Service</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Students are encouraged to reflect on their personal development and academic progress</w:t>
      </w:r>
    </w:p>
    <w:p w:rsidRPr="503DC450" w:rsidP="00B40E99">
      <w:pPr>
        <w:numPr>
          <w:ilvl w:val="0"/>
          <w:numId w:val="16"/>
        </w:numPr>
        <w:ind w:left="72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2"/>
          <w:szCs w:val="22"/>
        </w:rPr>
        <w:t>Student evaluation</w:t>
      </w:r>
    </w:p>
    <w:p w:rsidRPr="503DC450" w:rsidP="00A92C9B">
      <w:pPr>
        <w:numPr>
          <w:ilvl w:val="0"/>
          <w:numId w:val="17"/>
        </w:numPr>
        <w:ind w:left="720" w:hanging="360"/>
        <w:jc w:val="left"/>
        <w:rPr>
          <w:rFonts w:ascii="Arial" w:hAnsi="Arial" w:cs="Arial"/>
          <w:sz w:val="22"/>
          <w:szCs w:val="22"/>
        </w:rPr>
      </w:pPr>
      <w:r w:rsidRPr="503DC450">
        <w:rPr>
          <w:rFonts w:ascii="Arial" w:hAnsi="Arial" w:cs="Arial"/>
          <w:sz w:val="22"/>
          <w:szCs w:val="22"/>
        </w:rPr>
        <w:t>Moderation policies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2"/>
          <w:szCs w:val="22"/>
        </w:rPr>
        <w:t>Students’ generic employability skills are developed throughout their course, both through activities that are embedded within the syllabus and from services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such as initiative, the ability to work in teams, manage time and to prioritise, the desire to learn and the motivation to improve performance, and appropriate communication and presentation skills in all their forms.  In this context, students are also encouraged to take advantage of opportunities within and outside of the university to develop such skills through volunteering, work placements and study abroad.  These skills are developed and enhanced during levels 5 and 6; in particular, the importance of creative thinking and problem-solving, networking, negotiating, inquisitiveness and giving and receiving feedback.  Students are also encouraged to develop clearer ideas about career options, and are offered assistance and guidance in the preparation of CVs and for job applications and interviews.  The final year also develops an understanding of leadership skills as well as an appreciation of commercial and business awareness, among other essential employment skills.</w:t>
      </w:r>
    </w:p>
    <w:p w:rsidRPr="503DC450" w:rsidP="001A372B">
      <w:pPr>
        <w:jc w:val="both"/>
        <w:rPr>
          <w:rFonts w:ascii="Arial" w:hAnsi="Arial" w:cs="Arial"/>
          <w:sz w:val="22"/>
          <w:szCs w:val="22"/>
        </w:rPr>
      </w:pPr>
      <w:r w:rsidRPr="503DC450">
        <w:rPr>
          <w:rFonts w:ascii="Arial" w:hAnsi="Arial" w:cs="Arial"/>
          <w:sz w:val="22"/>
          <w:szCs w:val="22"/>
        </w:rPr>
        <w:t xml:space="preserve">Graduates are equipped with the knowledge and skills to prepare them for further training as forensic scientists or research and laboratory scientists. In addition, the degree provides a curriculum that is relevant to employment in industries such as the pharmaceutical and molecular biology sectors that seek graduates with a sound knowledge of biology and chemistry together with practical and analytical skills.  The practical, research and key skills content of the Field also prepares graduates for postgraduate training leading to research careers in a variety of scientific disciplines.  Some graduates may seek to continue their interest in biology and chemistry generally through careers in science teaching. </w:t>
      </w:r>
    </w:p>
    <w:p w:rsidRPr="503DC450" w:rsidP="001A372B">
      <w:pPr>
        <w:jc w:val="both"/>
        <w:rPr>
          <w:rFonts w:ascii="Arial" w:hAnsi="Arial" w:cs="Arial"/>
          <w:sz w:val="22"/>
          <w:szCs w:val="22"/>
        </w:rPr>
      </w:pPr>
      <w:r w:rsidRPr="503DC450">
        <w:rPr>
          <w:rFonts w:ascii="Arial" w:hAnsi="Arial" w:cs="Arial"/>
          <w:sz w:val="22"/>
          <w:szCs w:val="22"/>
        </w:rPr>
        <w:t>It is also recognised that a number of graduates choose careers and postgraduate study in areas other than science but relating to the understanding they have gained of crime and criminal investigations, such as policing, probation, community and social work, security, insurance investigation, psychology and law. The degree equips graduates with transferable intellectual and key skills that are recognised as important for employment in a range of industries, such as finance, management, publishing and scientific sales.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A draft QAA Benchmark for Forensic Science was developed for consultation in 2012 and can be found here:</w:t>
      </w:r>
    </w:p>
    <w:p w:rsidRPr="503DC450" w:rsidP="00A92C9B">
      <w:pPr>
        <w:rPr>
          <w:rFonts w:ascii="Arial" w:hAnsi="Arial" w:cs="Arial"/>
          <w:sz w:val="22"/>
          <w:szCs w:val="22"/>
        </w:rPr>
      </w:pPr>
      <w:hyperlink r:id="rId11" w:history="1">
        <w:r w:rsidRPr="503DC450">
          <w:rPr>
            <w:rFonts w:ascii="Arial" w:hAnsi="Arial" w:cs="Arial"/>
            <w:sz w:val="22"/>
            <w:szCs w:val="22"/>
          </w:rPr>
          <w:t>Subject Benchmark Statement - Forensic Science (including Master's) (qaa.ac.uk)</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397"/>
        <w:gridCol w:w="300"/>
        <w:gridCol w:w="722"/>
        <w:gridCol w:w="722"/>
        <w:gridCol w:w="722"/>
        <w:gridCol w:w="721"/>
        <w:gridCol w:w="1"/>
        <w:gridCol w:w="754"/>
        <w:gridCol w:w="754"/>
        <w:gridCol w:w="720"/>
        <w:gridCol w:w="2"/>
        <w:gridCol w:w="722"/>
        <w:gridCol w:w="754"/>
        <w:gridCol w:w="71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LS4012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CH5006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LS5025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LS6028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CH6010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LS6013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the-quality-code/subject-benchmark-statements/forensic-science"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EE4CDA3-8121-4E85-BD47-714171AE090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