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Pharmaceutical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27/03/2025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Chemical &amp; Pharmaceutical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Pharmaceutical Science</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Pharmaceutical Science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UFPSC1PSC04</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BB22</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Science (with Regulatory Affairs)</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Pharmaceutical Science with Regulatory Affairs</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Pharmaceutical Science with Regulatory Affairs</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UFPSR1PSR20</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Science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Pharmaceutical Science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Pharmaceutical Science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USPSC1PSC45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Science (with Foundation Year)</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Pharmaceutical Science with Foundation Year</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Pharmaceutical Science with Foundation Year</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UFPSC1PSC55</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Kingston upon Thames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none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There are no variants to UR.</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provide all students who take the pharmaceutical science course, including those on the regulatory affairs pathway, with an in-depth knowledge and understanding of the core areas of pharmaceutical science.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introduce students to the design, synthesis, and development of drugs through the study of appropriate examples.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enable students to develop their independent learning skills using primary and secondary literature sources.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enable students to develop subject related practical skills.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provide students with the opportunity to develop their digital, written, and oral communication skills.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prepare students for graduate employment, both scientific and otherwise, and study for a higher degree, whether taught or by research, by developing their intellectual, problem-solving, teamwork and analytical skills.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students with a comprehensive understanding of the pivotal role pharmaceutical science plays in addressing worldwide health challenges, by encouraging the students to be champions of change.</w:t>
      </w:r>
    </w:p>
    <w:p w:rsidRPr="2030048C" w:rsidP="2030048C">
      <w:pPr>
        <w:pStyle w:val="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Additionally for students taking the Regulatory Affairs Pathway:</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provide students with an in-depth knowledge and understanding of core national and international pharmaceutical regulatory affairs and their application in pharmaceutical manufacturing, enabling students to apply regulatory requirements and guidance to medicines and medicinal products.</w:t>
      </w:r>
      <w:r w:rsidRPr="2030048C">
        <w:rPr>
          <w:rStyle w:val="normaltextrun"/>
          <w:rFonts w:ascii="Arial" w:hAnsi="Arial" w:cs="Arial"/>
          <w:color w:val="000000" w:themeColor="text1"/>
          <w:sz w:val="24"/>
          <w:szCs w:val="24"/>
          <w:shd w:val="clear" w:color="auto" w:fill="FFFFFF"/>
        </w:rPr>
        <w:t> </w:t>
      </w:r>
    </w:p>
    <w:p w:rsidRPr="2030048C" w:rsidP="2030048C">
      <w:pPr>
        <w:pStyle w:val="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Additionally, for those BSc students following the professional placement programme:</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enable students to complete a period of work experience in an area of pharmaceutical science which is related to their studies and to enhance, using this experience, their knowledge of career opportunities in the academic, pharmaceutical, and related areas.</w:t>
      </w: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good knowledge and understanding of the core areas of pharmaceutical science including organic chemistry, bioanalysis, pharmaceutical chemistry, introductory biology, pharmacology, toxicology and immunology, pharmaceutics and drug delivery.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laboratory work in chemistry, life science and related subjects in a safe, competent and professional manner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the mathematical, statistical and computational skills necessary for working in a scientific capacity in an academic, commercial or industrial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understanding and empathy in the collaborative solving of global challenges by using inclusive and innovative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COSHH safety assessments for any experiment and perform laboratory techniques safely and effectively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Competently and safely use  a variety of modern scientific instruments and computers with dedicated software specific  to areas of pharmaceutical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conduct and report on complex experiments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good knowledge and understanding of the regulations applicable to the development, testing and marketing of pharmaceutical products.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rigorous data analysis from a variety of sources to discern and establish connections and contradictions.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scientific instruments, understand the principles of their operation and obtain reproducible experimental results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Introduction to the use of use relevant guidelines for example those from the ICH, EMA, and MHRA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structure and function of the employing company/organisation in relation to the scientific professional environment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both orally and in writing by discussing and reflecting on their experience of working in a professional environment (Professional Placement route)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interpersonal and time management skills by working within a team to achieve organisational goals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Our BSc Pharmaceutical science degrees embed the United Nations Sustainable Development Goals (UNSDGs) to prepare students for impactful careers in the pharmaceutical sector particularly UNSDG 3 - Good Health and Wellbeing, 10 - Reduced Inequalities, 12 – Responsible Consumption and Production and 17 – Partnership for the Goals. Through curricula incorporating aspects of global health / social &amp; environmental sustainability / and ethical approaches to pharmaceutical science practices, students gain a comprehensive understanding of the critical role pharmaceutical science plays in addressing worldwide challenges in health. This approach equips graduates with the knowledge and skills to contribute to sustainable solutions in drug development and healthcare delivery.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1F4D78"/>
          <w:sz w:val="24"/>
          <w:szCs w:val="24"/>
        </w:rPr>
        <w:t>Outline Programme Structure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For level 3 modules, see Programme Specification for Foundation Year in Science.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drawing>
          <wp:inline>
            <wp:extent cx="5731510" cy="3225552"/>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5731510" cy="3225552"/>
                    </a:xfrm>
                    <a:prstGeom prst="rect">
                      <a:avLst/>
                    </a:prstGeom>
                  </pic:spPr>
                </pic:pic>
              </a:graphicData>
            </a:graphic>
          </wp:inline>
        </w:drawing>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BSc Pharmaceutical Science with Regulatory Affairs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18"/>
          <w:szCs w:val="18"/>
          <w:shd w:val="clear" w:color="auto" w:fill="FFFFFF"/>
        </w:rPr>
        <w:drawing>
          <wp:inline>
            <wp:extent cx="5731510" cy="3227261"/>
            <wp:docPr id="100004" name="" descr="A group of square box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2"/>
                    <a:stretch>
                      <a:fillRect/>
                    </a:stretch>
                  </pic:blipFill>
                  <pic:spPr>
                    <a:xfrm>
                      <a:off x="0" y="0"/>
                      <a:ext cx="5731510" cy="3227261"/>
                    </a:xfrm>
                    <a:prstGeom prst="rect">
                      <a:avLst/>
                    </a:prstGeom>
                  </pic:spPr>
                </pic:pic>
              </a:graphicData>
            </a:graphic>
          </wp:inline>
        </w:drawing>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Science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Science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Academic Skills for Molecular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Chemical Foundations: From Atoms to Pharmaceuticals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Biosciences and Pharmaceutics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Pharmaceutical Concepts, Analysis, and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shd w:val="clear" w:color="auto" w:fill="FFFFFF"/>
        </w:rPr>
        <w:t>This course permits progression from level 4 to level 5 with 90 credits at level 4 or above. The outstanding 30 credits from level 4 can be trailed into level 5 and must be passed before progression to level 6.</w:t>
      </w:r>
      <w:r w:rsidRPr="2030048C">
        <w:rPr>
          <w:rStyle w:val="normaltextrun"/>
          <w:rFonts w:ascii="Arial" w:eastAsia="Arial" w:hAnsi="Arial" w:cs="Arial"/>
          <w:color w:val="000000" w:themeColor="text1" w:themeShade="FF" w:themeTint="FF"/>
          <w:sz w:val="22"/>
          <w:szCs w:val="22"/>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2"/>
          <w:szCs w:val="22"/>
        </w:rPr>
        <w:t>Exit Awards at Level 4</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Pharmaceutical Science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Analytical Techniques for Molecular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Organic and Medicinal Chemistry with Global Medicine and Personalised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Formulation and Pharmaceutics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Practical and Research Skills in Pharmaceutical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Minimum of 36 weeks throughout the year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pStyle w:val="paragrap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w:t>
      </w:r>
      <w:r w:rsidRPr="2030048C">
        <w:rPr>
          <w:rStyle w:val="normaltextrun"/>
          <w:rFonts w:ascii="Arial" w:eastAsia="Arial" w:hAnsi="Arial" w:cs="Arial"/>
          <w:color w:val="000000" w:themeColor="text1" w:themeShade="FF" w:themeTint="FF"/>
          <w:sz w:val="24"/>
          <w:szCs w:val="24"/>
        </w:rPr>
        <w:t> </w:t>
      </w:r>
    </w:p>
    <w:p w:rsidR="3891A81D" w:rsidRPr="2030048C" w:rsidP="2030048C">
      <w:pPr>
        <w:pStyle w:val="paragrap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pStyle w:val="paragrap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Students who are registered on the professional placement route must successfully complete Levels 4 and 5, before undertaking a period of at least 36 weeks of supervised work experience. </w:t>
      </w: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Exit Awards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Science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Analytical Techniques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Drug Delivery and Formulation in Pharmaceutical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Drug Development – Bench to Bedside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Science (with Regulatory Affairs)</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Science (with Regulatory Affairs)</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Academic Skills for Molecular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Chemical Foundations – From Atoms to Pharmaceuticals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Biosciences and Pharmaceutics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Pharmaceutical Concepts, Analysis, and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Pharmaceutical Science (with Regulatory Affairs)</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Analytical Techniques for Molecular Science Practical and Research Skills in Pharmaceutical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Analytical Techniques for Molecular Science Practical and Research Skills in Pharmaceutical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Organic and Medicinal Chemistry with Global Medicine and Personalised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Formulation and Pharmaceutics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pStyle w:val="paragrap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w:t>
      </w:r>
      <w:r w:rsidRPr="2030048C">
        <w:rPr>
          <w:rStyle w:val="normaltextrun"/>
          <w:rFonts w:ascii="Arial" w:eastAsia="Arial" w:hAnsi="Arial" w:cs="Arial"/>
          <w:color w:val="000000" w:themeColor="text1" w:themeShade="FF" w:themeTint="FF"/>
          <w:sz w:val="24"/>
          <w:szCs w:val="24"/>
        </w:rPr>
        <w:t> </w:t>
      </w:r>
    </w:p>
    <w:p w:rsidR="3891A81D" w:rsidRPr="2030048C" w:rsidP="2030048C">
      <w:pPr>
        <w:pStyle w:val="paragrap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pStyle w:val="paragrap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Students who are registered on the professional placement route must successfully complete Levels 4 and 5, before undertaking a period of at least 36 weeks of supervised work experience. </w:t>
      </w: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Exit Awards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Science (with Regulatory Affairs)</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Analytical Techniques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Drug Delivery and Formulation in Pharmaceutical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Regulatory Affairs For Pharmaceutical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Science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Science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 including a Faculty employability co-ordinator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Placements administrator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Peer Mentoring Scheme (for which the Course Leader is a Champion)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Library, which includes the four on campus libraries as well as an online library and other e-resources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Academic Success Centre (ASC) that provide specific academic support on academic writing, study skills and maths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LinkedIn Learning embedded into the curriculum and as part of the PTS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Academy of Pharmaceutical Science</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The Academy of Pharmaceutical Scientists – APS - (</w:t>
      </w:r>
      <w:hyperlink r:id="rId13" w:tgtFrame="_blank" w:history="1">
        <w:r w:rsidRPr="2030048C">
          <w:rPr>
            <w:rFonts w:ascii="Arial" w:eastAsia="Arial" w:hAnsi="Arial" w:cs="Arial"/>
            <w:color w:val="0000FF"/>
            <w:sz w:val="22"/>
            <w:szCs w:val="22"/>
          </w:rPr>
          <w:t>www.apsgb.co.uk</w:t>
        </w:r>
      </w:hyperlink>
      <w:r w:rsidRPr="2030048C">
        <w:rPr>
          <w:rFonts w:ascii="Arial" w:eastAsia="Arial" w:hAnsi="Arial" w:cs="Arial"/>
          <w:sz w:val="22"/>
          <w:szCs w:val="22"/>
        </w:rPr>
        <w: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The Organisation for Professionals in Regulatory Affairs - TOPRA - (</w:t>
      </w:r>
      <w:hyperlink r:id="rId14" w:tgtFrame="_blank" w:history="1">
        <w:r w:rsidRPr="2030048C">
          <w:rPr>
            <w:rFonts w:ascii="Arial" w:eastAsia="Arial" w:hAnsi="Arial" w:cs="Arial"/>
            <w:color w:val="0000FF"/>
            <w:sz w:val="22"/>
            <w:szCs w:val="22"/>
          </w:rPr>
          <w:t>www.topra.org</w:t>
        </w:r>
      </w:hyperlink>
      <w:r w:rsidRPr="2030048C">
        <w:rPr>
          <w:rFonts w:ascii="Arial" w:eastAsia="Arial" w:hAnsi="Arial" w:cs="Arial"/>
          <w:sz w:val="22"/>
          <w:szCs w:val="22"/>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973"/>
        <w:gridCol w:w="204"/>
        <w:gridCol w:w="522"/>
        <w:gridCol w:w="522"/>
        <w:gridCol w:w="522"/>
        <w:gridCol w:w="522"/>
        <w:gridCol w:w="522"/>
        <w:gridCol w:w="1"/>
        <w:gridCol w:w="521"/>
        <w:gridCol w:w="522"/>
        <w:gridCol w:w="522"/>
        <w:gridCol w:w="522"/>
        <w:gridCol w:w="522"/>
        <w:gridCol w:w="2"/>
        <w:gridCol w:w="520"/>
        <w:gridCol w:w="522"/>
        <w:gridCol w:w="522"/>
        <w:gridCol w:w="522"/>
        <w:gridCol w:w="52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sgb.co.uk/"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image" Target="media/image3.png"/><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footer" Target="footer1.xml"/><Relationship Id="rId14" Type="http://schemas.openxmlformats.org/officeDocument/2006/relationships/hyperlink" Target="http://www.topra.org/"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7D286A4-92C2-4937-B399-DACADF1D57E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