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Pharmacology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Pharmacology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Pharmacology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UPPHC1PHC01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UFPHC1PHC01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B210/B211/B212 (full time/placement/foundation)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Pharmacology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Pharmacology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Pharmacology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Pharmacology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Pharmacology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Pharmacology including Foundation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Pharmacology including Foundation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Pharmacology including Foundation</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w:t>
            </w:r>
            <w:r w:rsidRPr="2030048C">
              <w:rPr>
                <w:rStyle w:val="normaltextrun"/>
                <w:rFonts w:ascii="Calibri" w:eastAsia="Calibri" w:hAnsi="Calibri" w:cs="Calibri"/>
                <w:b w:val="0"/>
                <w:bCs w:val="0"/>
                <w:color w:val="000000"/>
                <w:sz w:val="22"/>
                <w:szCs w:val="22"/>
                <w:shd w:val="clear" w:color="auto" w:fill="FFFFFF"/>
              </w:rPr>
              <w:t>oyal Society of Biology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The </w:t>
            </w:r>
            <w:r w:rsidRPr="158602C4">
              <w:rPr>
                <w:rStyle w:val="normaltextrun"/>
                <w:rFonts w:ascii="Arial" w:eastAsia="Arial" w:hAnsi="Arial" w:cs="Arial"/>
                <w:b w:val="0"/>
                <w:bCs w:val="0"/>
                <w:color w:val="000000" w:themeColor="text1" w:themeShade="FF" w:themeTint="FF"/>
                <w:sz w:val="24"/>
                <w:szCs w:val="24"/>
              </w:rPr>
              <w:t>project</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bioscienc</w:t>
            </w:r>
            <w:r w:rsidRPr="158602C4">
              <w:rPr>
                <w:rStyle w:val="normaltextrun"/>
                <w:rFonts w:ascii="Arial" w:eastAsia="Arial" w:hAnsi="Arial" w:cs="Arial"/>
                <w:b w:val="0"/>
                <w:bCs w:val="0"/>
                <w:color w:val="000000" w:themeColor="text1" w:themeShade="FF" w:themeTint="FF"/>
                <w:sz w:val="24"/>
                <w:szCs w:val="24"/>
              </w:rPr>
              <w:t xml:space="preserve">e) module </w:t>
            </w:r>
            <w:r w:rsidRPr="158602C4">
              <w:rPr>
                <w:rStyle w:val="normaltextrun"/>
                <w:rFonts w:ascii="Arial" w:eastAsia="Arial" w:hAnsi="Arial" w:cs="Arial"/>
                <w:b w:val="0"/>
                <w:bCs w:val="0"/>
                <w:color w:val="000000" w:themeColor="text1" w:themeShade="FF" w:themeTint="FF"/>
                <w:sz w:val="24"/>
                <w:szCs w:val="24"/>
              </w:rPr>
              <w:t>(</w:t>
            </w:r>
            <w:r w:rsidRPr="158602C4">
              <w:rPr>
                <w:rStyle w:val="normaltextrun"/>
                <w:rFonts w:ascii="Arial" w:eastAsia="Arial" w:hAnsi="Arial" w:cs="Arial"/>
                <w:b w:val="0"/>
                <w:bCs w:val="0"/>
                <w:color w:val="000000" w:themeColor="text1" w:themeShade="FF" w:themeTint="FF"/>
                <w:sz w:val="24"/>
                <w:szCs w:val="24"/>
              </w:rPr>
              <w:t>LS6014</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must be pas</w:t>
            </w:r>
            <w:r w:rsidRPr="158602C4">
              <w:rPr>
                <w:rStyle w:val="normaltextrun"/>
                <w:rFonts w:ascii="Arial" w:eastAsia="Arial" w:hAnsi="Arial" w:cs="Arial"/>
                <w:b w:val="0"/>
                <w:bCs w:val="0"/>
                <w:color w:val="000000" w:themeColor="text1" w:themeShade="FF" w:themeTint="FF"/>
                <w:sz w:val="24"/>
                <w:szCs w:val="24"/>
              </w:rPr>
              <w:t>sed and</w:t>
            </w:r>
            <w:r w:rsidRPr="158602C4">
              <w:rPr>
                <w:rStyle w:val="normaltextrun"/>
                <w:rFonts w:ascii="Arial" w:eastAsia="Arial" w:hAnsi="Arial" w:cs="Arial"/>
                <w:b w:val="0"/>
                <w:bCs w:val="0"/>
                <w:color w:val="000000" w:themeColor="text1" w:themeShade="FF" w:themeTint="FF"/>
                <w:sz w:val="24"/>
                <w:szCs w:val="24"/>
              </w:rPr>
              <w:t xml:space="preserve"> cannot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For all pharmacology students, the course aims: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understanding of the core elements of pharmacology;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identify, locate and critically appraise primary and secondary sources as a basis for independent study, and a major research project in the final year;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subject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the opportunities to develop their written, oral, and digital communication skills;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 creativity and innovation relevant to the workplace; and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research, further study, and lifelong learning by developing their intellectual, problem-solving, practical, and key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within students a social awareness of decision-making processes  </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Additionally, for students following the professional placement route, the course aims: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complete a period of work experience within a relevant institution, building upon their previous academic knowledge and experience.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insight into the nature of employment opportunities for pharmacologists by gaining first-hand experience.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Leverage awareness of the career opportunities within pharmacology, or closely related subject areas, to pursue effective graduate studies or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in a team and play a full part in achieving its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scientific tools and instruments and understand their technological basis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Contextualise the relevance of underpinning bioscience subjects, including human physiology, cell and molecular biology, biochemistry, immunology, and microbiology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ideas and communicate them well to others (in written, oral and digital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perform key pharmacological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principles of pharmacodynamics and pharmacokinetics, drug discovery, and preclinical to clinical testing - in the context of the latest research and literature in the field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an independent, autonomous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experiments to investigate pharmacological phenomena; and recognise strategies to mitigate bias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apply extensive knowledge and understanding of research methods and skills; along with the ethical implications for equality, diversity, and inclusivity of pharmacological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the solving of problems by using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strategies to perform subject-related practical work safely, and understand and comply with ethical and safety regulations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critically evaluate, integrate, and synthesise information from multiple sources, including both primary data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interpret data from a variety of sources (including academic literature)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to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 with Pharmacology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000000" w:themeColor="text1" w:themeShade="FF" w:themeTint="FF"/>
          <w:sz w:val="20"/>
          <w:szCs w:val="20"/>
        </w:rPr>
        <w:t>This course permits progression from level 4 to level 5 with 90 credits at level 4 or above, unless specific module prerequisites prevent trailing of credit.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Pharmacology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Pharmacology with Toxicology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Clinical Pharmacology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Microbiology,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Molecular Biology of the Cell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Minimum of 36 weeks throughout the year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Progression to Level 6</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Bioscience Innovation and Enterprise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Drugs, Brain and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Pharmacotherapy of Infection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Pharmacology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r w:rsidRPr="2030048C">
        <w:rPr>
          <w:rFonts w:ascii="Arial" w:eastAsia="Arial" w:hAnsi="Arial" w:cs="Arial"/>
          <w:sz w:val="22"/>
          <w:szCs w:val="22"/>
        </w:rPr>
        <w:t xml:space="preserv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session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Mental Health and Wellbeing support teams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membership to the British Pharmacological Society (BPS)</w:t>
      </w:r>
    </w:p>
    <w:p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40"/>
        <w:gridCol w:w="238"/>
        <w:gridCol w:w="1"/>
        <w:gridCol w:w="585"/>
        <w:gridCol w:w="1"/>
        <w:gridCol w:w="585"/>
        <w:gridCol w:w="1"/>
        <w:gridCol w:w="585"/>
        <w:gridCol w:w="1"/>
        <w:gridCol w:w="584"/>
        <w:gridCol w:w="1"/>
        <w:gridCol w:w="1"/>
        <w:gridCol w:w="585"/>
        <w:gridCol w:w="1"/>
        <w:gridCol w:w="585"/>
        <w:gridCol w:w="1"/>
        <w:gridCol w:w="585"/>
        <w:gridCol w:w="1"/>
        <w:gridCol w:w="583"/>
        <w:gridCol w:w="2"/>
        <w:gridCol w:w="1"/>
        <w:gridCol w:w="585"/>
        <w:gridCol w:w="1"/>
        <w:gridCol w:w="585"/>
        <w:gridCol w:w="1"/>
        <w:gridCol w:w="585"/>
        <w:gridCol w:w="1"/>
        <w:gridCol w:w="602"/>
        <w:gridCol w:w="1"/>
        <w:gridCol w:w="5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DED7273-84FB-4549-B4BD-E5D23C1622F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