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Pharmacology</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13/02/2025</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31/10/2025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 xml:space="preserve">Teaching Out </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7</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Health, Science, Social Care &amp; Education</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Life Sciences, Pharmacy and Chemistry</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Chemical &amp; Pharmaceutical Sciences</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Pharmacology</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Pharmacology</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Ordinary Degree Pharmacology</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 HE Pharmacology</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UPPHC1PHC01</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UFPHC1PHC01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B210/B211/B212 (full time/placement/foundation)</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Pharmacology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Pharmacology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Ordinary Degree Pharmacology (with Professional Placement)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 HE Pharmacology (with Professional Placement)</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C"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Pharmacology (with Foundation Year)</w:t>
            </w:r>
          </w:p>
          <w:p w:rsidR="72431AC7" w:rsidP="540725A5" w14:textId="77777777">
            <w:pPr>
              <w:rPr>
                <w:rFonts w:ascii="Arial" w:eastAsia="Arial" w:hAnsi="Arial" w:cs="Arial"/>
                <w:b w:val="0"/>
                <w:bCs w:val="0"/>
                <w:sz w:val="24"/>
                <w:szCs w:val="24"/>
              </w:rPr>
            </w:pPr>
          </w:p>
        </w:tc>
      </w:tr>
      <w:tr w14:paraId="34BB979D"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Pharmacology including Foundation</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Ordinary Degree Pharmacology including Foundation</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 HE Pharmacology including Foundation</w:t>
            </w:r>
            <w:r>
              <w:br/>
            </w:r>
          </w:p>
        </w:tc>
      </w:tr>
      <w:tr w14:paraId="2A120394"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p>
        </w:tc>
      </w:tr>
      <w:tr w14:paraId="78C565EA"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8</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8</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Calibri" w:eastAsia="Calibri" w:hAnsi="Calibri" w:cs="Calibri"/>
                <w:b w:val="0"/>
                <w:bCs w:val="0"/>
                <w:color w:val="000000"/>
                <w:sz w:val="22"/>
                <w:szCs w:val="22"/>
                <w:shd w:val="clear" w:color="auto" w:fill="FFFFFF"/>
              </w:rPr>
              <w:t>R</w:t>
            </w:r>
            <w:r w:rsidRPr="2030048C">
              <w:rPr>
                <w:rStyle w:val="normaltextrun"/>
                <w:rFonts w:ascii="Calibri" w:eastAsia="Calibri" w:hAnsi="Calibri" w:cs="Calibri"/>
                <w:b w:val="0"/>
                <w:bCs w:val="0"/>
                <w:color w:val="000000"/>
                <w:sz w:val="22"/>
                <w:szCs w:val="22"/>
                <w:shd w:val="clear" w:color="auto" w:fill="FFFFFF"/>
              </w:rPr>
              <w:t>oyal Society of Biology</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jc w:val="both"/>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xml:space="preserve">The </w:t>
            </w:r>
            <w:r w:rsidRPr="158602C4">
              <w:rPr>
                <w:rStyle w:val="normaltextrun"/>
                <w:rFonts w:ascii="Arial" w:eastAsia="Arial" w:hAnsi="Arial" w:cs="Arial"/>
                <w:b w:val="0"/>
                <w:bCs w:val="0"/>
                <w:color w:val="000000" w:themeColor="text1" w:themeShade="FF" w:themeTint="FF"/>
                <w:sz w:val="24"/>
                <w:szCs w:val="24"/>
              </w:rPr>
              <w:t>project</w:t>
            </w:r>
            <w:r w:rsidRPr="158602C4">
              <w:rPr>
                <w:rStyle w:val="normaltextrun"/>
                <w:rFonts w:ascii="Arial" w:eastAsia="Arial" w:hAnsi="Arial" w:cs="Arial"/>
                <w:b w:val="0"/>
                <w:bCs w:val="0"/>
                <w:color w:val="000000" w:themeColor="text1" w:themeShade="FF" w:themeTint="FF"/>
                <w:sz w:val="24"/>
                <w:szCs w:val="24"/>
              </w:rPr>
              <w:t xml:space="preserve"> (</w:t>
            </w:r>
            <w:r w:rsidRPr="158602C4">
              <w:rPr>
                <w:rStyle w:val="normaltextrun"/>
                <w:rFonts w:ascii="Arial" w:eastAsia="Arial" w:hAnsi="Arial" w:cs="Arial"/>
                <w:b w:val="0"/>
                <w:bCs w:val="0"/>
                <w:color w:val="000000" w:themeColor="text1" w:themeShade="FF" w:themeTint="FF"/>
                <w:sz w:val="24"/>
                <w:szCs w:val="24"/>
              </w:rPr>
              <w:t>bioscienc</w:t>
            </w:r>
            <w:r w:rsidRPr="158602C4">
              <w:rPr>
                <w:rStyle w:val="normaltextrun"/>
                <w:rFonts w:ascii="Arial" w:eastAsia="Arial" w:hAnsi="Arial" w:cs="Arial"/>
                <w:b w:val="0"/>
                <w:bCs w:val="0"/>
                <w:color w:val="000000" w:themeColor="text1" w:themeShade="FF" w:themeTint="FF"/>
                <w:sz w:val="24"/>
                <w:szCs w:val="24"/>
              </w:rPr>
              <w:t xml:space="preserve">e) module </w:t>
            </w:r>
            <w:r w:rsidRPr="158602C4">
              <w:rPr>
                <w:rStyle w:val="normaltextrun"/>
                <w:rFonts w:ascii="Arial" w:eastAsia="Arial" w:hAnsi="Arial" w:cs="Arial"/>
                <w:b w:val="0"/>
                <w:bCs w:val="0"/>
                <w:color w:val="000000" w:themeColor="text1" w:themeShade="FF" w:themeTint="FF"/>
                <w:sz w:val="24"/>
                <w:szCs w:val="24"/>
              </w:rPr>
              <w:t>(</w:t>
            </w:r>
            <w:r w:rsidRPr="158602C4">
              <w:rPr>
                <w:rStyle w:val="normaltextrun"/>
                <w:rFonts w:ascii="Arial" w:eastAsia="Arial" w:hAnsi="Arial" w:cs="Arial"/>
                <w:b w:val="0"/>
                <w:bCs w:val="0"/>
                <w:color w:val="000000" w:themeColor="text1" w:themeShade="FF" w:themeTint="FF"/>
                <w:sz w:val="24"/>
                <w:szCs w:val="24"/>
              </w:rPr>
              <w:t>LS6014</w:t>
            </w:r>
            <w:r w:rsidRPr="158602C4">
              <w:rPr>
                <w:rStyle w:val="normaltextrun"/>
                <w:rFonts w:ascii="Arial" w:eastAsia="Arial" w:hAnsi="Arial" w:cs="Arial"/>
                <w:b w:val="0"/>
                <w:bCs w:val="0"/>
                <w:color w:val="000000" w:themeColor="text1" w:themeShade="FF" w:themeTint="FF"/>
                <w:sz w:val="24"/>
                <w:szCs w:val="24"/>
              </w:rPr>
              <w:t xml:space="preserve">) </w:t>
            </w:r>
            <w:r w:rsidRPr="158602C4">
              <w:rPr>
                <w:rStyle w:val="normaltextrun"/>
                <w:rFonts w:ascii="Arial" w:eastAsia="Arial" w:hAnsi="Arial" w:cs="Arial"/>
                <w:b w:val="0"/>
                <w:bCs w:val="0"/>
                <w:color w:val="000000" w:themeColor="text1" w:themeShade="FF" w:themeTint="FF"/>
                <w:sz w:val="24"/>
                <w:szCs w:val="24"/>
              </w:rPr>
              <w:t>must be pas</w:t>
            </w:r>
            <w:r w:rsidRPr="158602C4">
              <w:rPr>
                <w:rStyle w:val="normaltextrun"/>
                <w:rFonts w:ascii="Arial" w:eastAsia="Arial" w:hAnsi="Arial" w:cs="Arial"/>
                <w:b w:val="0"/>
                <w:bCs w:val="0"/>
                <w:color w:val="000000" w:themeColor="text1" w:themeShade="FF" w:themeTint="FF"/>
                <w:sz w:val="24"/>
                <w:szCs w:val="24"/>
              </w:rPr>
              <w:t>sed and</w:t>
            </w:r>
            <w:r w:rsidRPr="158602C4">
              <w:rPr>
                <w:rStyle w:val="normaltextrun"/>
                <w:rFonts w:ascii="Arial" w:eastAsia="Arial" w:hAnsi="Arial" w:cs="Arial"/>
                <w:b w:val="0"/>
                <w:bCs w:val="0"/>
                <w:color w:val="000000" w:themeColor="text1" w:themeShade="FF" w:themeTint="FF"/>
                <w:sz w:val="24"/>
                <w:szCs w:val="24"/>
              </w:rPr>
              <w:t xml:space="preserve"> cannot be compensated.</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57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For all pharmacology students, the course aims: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students with an in-depth knowledge and understanding of the core elements of pharmacology;</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enable students to identify, locate and critically appraise primary and secondary sources as a basis for independent study, and a major research project in the final year;</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subject related practical skills;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to provide students with the opportunities to develop their written, oral, and digital communication skills;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student creativity and innovation relevant to the workplace; and</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prepare students for graduate employment, research, further study, and lifelong learning by developing their intellectual, problem-solving, practical, and key (transferable) skills;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within students a social awareness of decision-making processes  </w:t>
      </w:r>
    </w:p>
    <w:p w:rsidRPr="2030048C" w:rsidP="2030048C">
      <w:pPr>
        <w:pStyle w:val="ListParagraph"/>
        <w:ind w:left="72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72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Additionally, for students following the professional placement route, the course aims:</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enable students to complete a period of work experience within a relevant institution, building upon their previous academic knowledge and experience.</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students with an insight into the nature of employment opportunities for pharmacologists by gaining first-hand experience.</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Leverage awareness of the career opportunities within pharmacology, or closely related subject areas, to pursue effective graduate studies or employment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B7</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Work effectively in a team and play a full part in achieving its success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a range of complex scientific tools and instruments and understand their technological basis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Contextualise the relevance of underpinning bioscience subjects, including human physiology, cell and molecular biology, biochemistry, immunology, and microbiology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original ideas and communicate them well to others (in written, oral and digital form)</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Select and perform key pharmacological techniques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the principles of pharmacodynamics and pharmacokinetics, drug discovery, and preclinical to clinical testing - in the context of the latest research and literature in the field</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ability to be an independent, autonomous learner</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Design experiments to investigate pharmacological phenomena; and recognise strategies to mitigate bias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and apply extensive knowledge and understanding of research methods and skills; along with the ethical implications for equality, diversity, and inclusivity of pharmacological research</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subject knowledge and understanding to the solving of problems by using innovative methods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Implement strategies to perform subject-related practical work safely, and understand and comply with ethical and safety regulations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Plan, conduct and report on an individual research project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Locate, critically evaluate, integrate, and synthesise information from multiple sources, including both primary data and secondary sources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1"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Assemble and interpret data from a variety of sources (including academic literature) to discern and establish connections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Pharmacology</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Pharmacology</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Genes to Tissues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LS4014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Human Physiology with Pharmacology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LS4017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Introduction to Biochemistry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LS4015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Scientific and Laboratory Skills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LS4003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i/>
          <w:iCs/>
          <w:color w:val="000000" w:themeColor="text1" w:themeShade="FF" w:themeTint="FF"/>
          <w:sz w:val="20"/>
          <w:szCs w:val="20"/>
        </w:rPr>
        <w:t>This course permits progression from level 4 to level 5 with 90 credits at level 4 or above, unless specific module prerequisites prevent trailing of credit. The outstanding 30 credits from level 4 can be trailed into level 5 and must be passed before progression to level 6.</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0"/>
          <w:szCs w:val="20"/>
        </w:rPr>
        <w:t>Students exiting the programme at this point who have successfully completed 120 credits are eligible for the award of Certificate of Higher Education.</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Pharmacology</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Applied Pharmacology with Toxicology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LS5031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Clinical Pharmacology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LS5032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Microbiology, Research Methods and Skills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LS5030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Molecular Biology of the Cell</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ED519C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1FC664C" w14:textId="03C15C9E">
            <w:pPr>
              <w:rPr>
                <w:rFonts w:ascii="Arial" w:eastAsia="Arial" w:hAnsi="Arial" w:cs="Arial"/>
                <w:sz w:val="24"/>
                <w:szCs w:val="24"/>
              </w:rPr>
            </w:pPr>
            <w:r w:rsidRPr="7AD52F4D" w:rsidR="06A3B627">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A2434B1" w14:textId="0EA4E7AA">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6C534" w14:textId="783B089B">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D46A005" w14:textId="49262EB7">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DB59B4E" w14:textId="44FA361C">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7BECB" w14:textId="151C3355">
            <w:pPr>
              <w:jc w:val="center"/>
              <w:rPr>
                <w:rFonts w:ascii="Arial" w:eastAsia="Arial" w:hAnsi="Arial" w:cs="Arial"/>
                <w:sz w:val="24"/>
                <w:szCs w:val="24"/>
              </w:rPr>
            </w:pP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44984E" w14:textId="7C66223A">
            <w:pPr>
              <w:jc w:val="center"/>
              <w:rPr>
                <w:rFonts w:ascii="Arial" w:eastAsia="Arial" w:hAnsi="Arial" w:cs="Arial"/>
                <w:sz w:val="24"/>
                <w:szCs w:val="24"/>
              </w:rPr>
            </w:pP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5847AB7" w14:textId="72CBD8C5">
            <w:pPr>
              <w:jc w:val="center"/>
              <w:rPr>
                <w:rFonts w:ascii="Arial" w:eastAsia="Arial" w:hAnsi="Arial" w:cs="Arial"/>
                <w:sz w:val="24"/>
                <w:szCs w:val="24"/>
              </w:rPr>
            </w:pPr>
          </w:p>
        </w:tc>
      </w:tr>
      <w:tr w14:paraId="5D7D13A1"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B1728E1" w14:textId="0EF531FA">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CF6C762"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LS5200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CFEC962"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B2F918E"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8E3ACBA"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Minimum of 36 weeks throughout the year</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AD489F6"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BBE4BE"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7BB90B" w14:textId="31F07BCA">
            <w:pPr>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b/>
          <w:bCs/>
          <w:color w:val="000000" w:themeColor="text1" w:themeShade="FF" w:themeTint="FF"/>
          <w:sz w:val="24"/>
          <w:szCs w:val="24"/>
        </w:rPr>
        <w:t>Progression to Level 6</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4"/>
          <w:szCs w:val="24"/>
        </w:rPr>
        <w:t>This course permits progression from level 5 to level 6 with 90 credits at level 5 or above. The outstanding 30 credits from level 5 can be trailed into level 6 and must be passed before consideration for an award.</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b/>
          <w:bCs/>
          <w:color w:val="000000" w:themeColor="text1" w:themeShade="FF" w:themeTint="FF"/>
          <w:sz w:val="24"/>
          <w:szCs w:val="24"/>
        </w:rPr>
        <w:t>Exit Awards at Level 5</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Pharmacology</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Bioscience Innovation and Enterprise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LS6044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Drugs, Brain and Behaviour</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LS6027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Pharmacotherapy of Infection and Cancer</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LS6038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Project (Bioscience)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LS6014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an Ordinary Degree.</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Pharmacology (with Professional Placement)</w:t>
      </w:r>
    </w:p>
    <w:p w:rsidR="008B5CAF" w:rsidRPr="008B5CAF" w:rsidP="008B5CAF" w14:textId="77777777">
      <w:pPr>
        <w:rPr>
          <w:rFonts w:eastAsia="Arial"/>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Pharmacology (with Foundation Year)</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Pr="2030048C" w:rsidP="2030048C">
      <w:pPr>
        <w:rPr>
          <w:rFonts w:ascii="Arial" w:eastAsia="Arial" w:hAnsi="Arial" w:cs="Arial"/>
          <w:sz w:val="24"/>
          <w:szCs w:val="24"/>
        </w:rPr>
      </w:pPr>
      <w:r w:rsidRPr="2030048C">
        <w:rPr>
          <w:rFonts w:ascii="Arial" w:eastAsia="Arial" w:hAnsi="Arial" w:cs="Arial"/>
          <w:sz w:val="24"/>
          <w:szCs w:val="24"/>
        </w:rPr>
        <w: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designated programme administrator</w:t>
      </w:r>
      <w:r w:rsidRPr="2030048C">
        <w:rPr>
          <w:rFonts w:ascii="Arial" w:eastAsia="Arial" w:hAnsi="Arial" w:cs="Arial"/>
          <w:sz w:val="22"/>
          <w:szCs w:val="22"/>
        </w:rPr>
        <w:t xml:space="preserve">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An induction week at the beginning of each new academic session</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Mental Health and Wellbeing support teams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membership to the British Pharmacological Society (BPS)</w:t>
      </w:r>
    </w:p>
    <w:p w:rsidRPr="2030048C" w:rsidP="2030048C">
      <w:pPr>
        <w:pStyle w:val="Heading2"/>
        <w:ind w:left="570"/>
        <w:outlineLvl w:val="1"/>
        <w:rPr>
          <w:rFonts w:ascii="Arial" w:eastAsia="Arial" w:hAnsi="Arial" w:cs="Arial"/>
          <w:sz w:val="24"/>
          <w:szCs w:val="24"/>
        </w:rPr>
      </w:pPr>
      <w:r w:rsidRPr="2030048C">
        <w:rPr>
          <w:rFonts w:ascii="Arial" w:eastAsia="Arial" w:hAnsi="Arial" w:cs="Arial"/>
          <w:sz w:val="24"/>
          <w:szCs w:val="24"/>
        </w:rPr>
        <w:t>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Apprenticeship standards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140"/>
        <w:gridCol w:w="238"/>
        <w:gridCol w:w="1"/>
        <w:gridCol w:w="585"/>
        <w:gridCol w:w="1"/>
        <w:gridCol w:w="585"/>
        <w:gridCol w:w="1"/>
        <w:gridCol w:w="585"/>
        <w:gridCol w:w="1"/>
        <w:gridCol w:w="584"/>
        <w:gridCol w:w="1"/>
        <w:gridCol w:w="1"/>
        <w:gridCol w:w="585"/>
        <w:gridCol w:w="1"/>
        <w:gridCol w:w="585"/>
        <w:gridCol w:w="1"/>
        <w:gridCol w:w="585"/>
        <w:gridCol w:w="1"/>
        <w:gridCol w:w="583"/>
        <w:gridCol w:w="2"/>
        <w:gridCol w:w="1"/>
        <w:gridCol w:w="585"/>
        <w:gridCol w:w="1"/>
        <w:gridCol w:w="585"/>
        <w:gridCol w:w="1"/>
        <w:gridCol w:w="585"/>
        <w:gridCol w:w="1"/>
        <w:gridCol w:w="602"/>
        <w:gridCol w:w="1"/>
        <w:gridCol w:w="582"/>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8"/>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9"/>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11"/>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LS4015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LS4017</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LS4003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LS4014</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LS5001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LS5030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LS5031</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LS5032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LS6038</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LS6044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LS6027</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LS6014</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B7</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i/>
          <w:iCs/>
          <w:color w:val="E74C3C"/>
          <w:sz w:val="24"/>
          <w:szCs w:val="24"/>
        </w:rPr>
        <w:t>Add information here about the number of approved entry points and for each one, except the first one, the delivery dates of the modules and which Teaching Block they’ll be delivered in. The details of the first entry point noted should be provided in the module tables above.</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multilevel"/>
    <w:tmpl w:val="74989B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8DED7273-84FB-4549-B4BD-E5D23C1622F2}"/>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