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Biochemistry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Biochemistry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UPBCH1BCH01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UFBCH1BCH01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C700 (full-time), C701 (with placement), C708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 (with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Biochemistry (with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 (with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USBCH1BCH45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Biochemistry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Biochemistry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Biochemistry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Biochemistry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Biology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jc w:val="both"/>
              <w:rPr>
                <w:rStyle w:val="normaltextrun"/>
                <w:rFonts w:ascii="Times New Roman" w:eastAsia="Times New Roman" w:hAnsi="Times New Roman" w:cs="Times New Roman"/>
                <w:b w:val="0"/>
                <w:bCs w:val="0"/>
                <w:color w:val="000000" w:themeColor="text1" w:themeShade="FF" w:themeTint="FF"/>
                <w:sz w:val="20"/>
                <w:szCs w:val="20"/>
              </w:rPr>
            </w:pPr>
            <w:r w:rsidRPr="158602C4">
              <w:rPr>
                <w:rStyle w:val="normaltextrun"/>
                <w:rFonts w:ascii="Calibri" w:eastAsia="Calibri" w:hAnsi="Calibri" w:cs="Calibri"/>
                <w:b w:val="0"/>
                <w:bCs w:val="0"/>
                <w:color w:val="000000" w:themeColor="text1" w:themeShade="FF" w:themeTint="FF"/>
                <w:sz w:val="20"/>
                <w:szCs w:val="20"/>
              </w:rPr>
              <w:t xml:space="preserve">The </w:t>
            </w:r>
            <w:r w:rsidRPr="158602C4">
              <w:rPr>
                <w:rStyle w:val="normaltextrun"/>
                <w:rFonts w:ascii="Calibri" w:eastAsia="Calibri" w:hAnsi="Calibri" w:cs="Calibri"/>
                <w:b w:val="0"/>
                <w:bCs w:val="0"/>
                <w:color w:val="000000" w:themeColor="text1" w:themeShade="FF" w:themeTint="FF"/>
                <w:sz w:val="20"/>
                <w:szCs w:val="20"/>
              </w:rPr>
              <w:t>proj</w:t>
            </w:r>
            <w:r w:rsidRPr="158602C4">
              <w:rPr>
                <w:rStyle w:val="normaltextrun"/>
                <w:rFonts w:ascii="Calibri" w:eastAsia="Calibri" w:hAnsi="Calibri" w:cs="Calibri"/>
                <w:b w:val="0"/>
                <w:bCs w:val="0"/>
                <w:color w:val="000000" w:themeColor="text1" w:themeShade="FF" w:themeTint="FF"/>
                <w:sz w:val="20"/>
                <w:szCs w:val="20"/>
              </w:rPr>
              <w:t>e</w:t>
            </w:r>
            <w:r w:rsidRPr="158602C4">
              <w:rPr>
                <w:rStyle w:val="normaltextrun"/>
                <w:rFonts w:ascii="Calibri" w:eastAsia="Calibri" w:hAnsi="Calibri" w:cs="Calibri"/>
                <w:b w:val="0"/>
                <w:bCs w:val="0"/>
                <w:color w:val="000000" w:themeColor="text1" w:themeShade="FF" w:themeTint="FF"/>
                <w:sz w:val="20"/>
                <w:szCs w:val="20"/>
              </w:rPr>
              <w:t xml:space="preserve">ct (bioscience) module </w:t>
            </w:r>
            <w:r w:rsidRPr="158602C4">
              <w:rPr>
                <w:rStyle w:val="normaltextrun"/>
                <w:rFonts w:ascii="Calibri" w:eastAsia="Calibri" w:hAnsi="Calibri" w:cs="Calibri"/>
                <w:b w:val="0"/>
                <w:bCs w:val="0"/>
                <w:color w:val="000000" w:themeColor="text1" w:themeShade="FF" w:themeTint="FF"/>
                <w:sz w:val="20"/>
                <w:szCs w:val="20"/>
              </w:rPr>
              <w:t>(</w:t>
            </w:r>
            <w:r w:rsidRPr="158602C4">
              <w:rPr>
                <w:rStyle w:val="normaltextrun"/>
                <w:rFonts w:ascii="Calibri" w:eastAsia="Calibri" w:hAnsi="Calibri" w:cs="Calibri"/>
                <w:b w:val="0"/>
                <w:bCs w:val="0"/>
                <w:color w:val="000000" w:themeColor="text1" w:themeShade="FF" w:themeTint="FF"/>
                <w:sz w:val="20"/>
                <w:szCs w:val="20"/>
              </w:rPr>
              <w:t>LS6014</w:t>
            </w:r>
            <w:r w:rsidRPr="158602C4">
              <w:rPr>
                <w:rStyle w:val="normaltextrun"/>
                <w:rFonts w:ascii="Calibri" w:eastAsia="Calibri" w:hAnsi="Calibri" w:cs="Calibri"/>
                <w:b w:val="0"/>
                <w:bCs w:val="0"/>
                <w:color w:val="000000" w:themeColor="text1" w:themeShade="FF" w:themeTint="FF"/>
                <w:sz w:val="20"/>
                <w:szCs w:val="20"/>
              </w:rPr>
              <w:t xml:space="preserve">) </w:t>
            </w:r>
            <w:r w:rsidRPr="158602C4">
              <w:rPr>
                <w:rStyle w:val="normaltextrun"/>
                <w:rFonts w:ascii="Calibri" w:eastAsia="Calibri" w:hAnsi="Calibri" w:cs="Calibri"/>
                <w:b w:val="0"/>
                <w:bCs w:val="0"/>
                <w:color w:val="000000" w:themeColor="text1" w:themeShade="FF" w:themeTint="FF"/>
                <w:sz w:val="20"/>
                <w:szCs w:val="20"/>
              </w:rPr>
              <w:t>must be passed and cannot be compe</w:t>
            </w:r>
            <w:r w:rsidRPr="158602C4">
              <w:rPr>
                <w:rStyle w:val="normaltextrun"/>
                <w:rFonts w:ascii="Calibri" w:eastAsia="Calibri" w:hAnsi="Calibri" w:cs="Calibri"/>
                <w:b w:val="0"/>
                <w:bCs w:val="0"/>
                <w:color w:val="000000" w:themeColor="text1" w:themeShade="FF" w:themeTint="FF"/>
                <w:sz w:val="20"/>
                <w:szCs w:val="20"/>
              </w:rPr>
              <w:t>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ghtGridAccent3"/>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BSc (Hons) Biochemistry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are</w:t>
      </w:r>
      <w:r w:rsidRPr="2030048C">
        <w:rPr>
          <w:rStyle w:val="normaltextrun"/>
          <w:rFonts w:ascii="Arial" w:hAnsi="Arial" w:cs="Arial"/>
          <w:color w:val="000000" w:themeColor="text1"/>
          <w:sz w:val="24"/>
          <w:szCs w:val="24"/>
          <w:shd w:val="clear" w:color="auto" w:fill="FFFFFF"/>
        </w:rPr>
        <w:t xml:space="preserve"> to</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all students who take the Biochemistry </w:t>
      </w:r>
      <w:r w:rsidRPr="2030048C">
        <w:rPr>
          <w:rStyle w:val="normaltextrun"/>
          <w:rFonts w:ascii="Arial" w:hAnsi="Arial" w:cs="Arial"/>
          <w:color w:val="000000" w:themeColor="text1"/>
          <w:sz w:val="24"/>
          <w:szCs w:val="24"/>
          <w:shd w:val="clear" w:color="auto" w:fill="FFFFFF"/>
        </w:rPr>
        <w:t xml:space="preserve">course </w:t>
      </w:r>
      <w:r w:rsidRPr="2030048C">
        <w:rPr>
          <w:rStyle w:val="normaltextrun"/>
          <w:rFonts w:ascii="Arial" w:hAnsi="Arial" w:cs="Arial"/>
          <w:color w:val="000000" w:themeColor="text1"/>
          <w:sz w:val="24"/>
          <w:szCs w:val="24"/>
          <w:shd w:val="clear" w:color="auto" w:fill="FFFFFF"/>
        </w:rPr>
        <w:t xml:space="preserve">with an in-depth knowledge </w:t>
      </w:r>
      <w:r w:rsidRPr="2030048C">
        <w:rPr>
          <w:rStyle w:val="normaltextrun"/>
          <w:rFonts w:ascii="Arial" w:hAnsi="Arial" w:cs="Arial"/>
          <w:color w:val="000000" w:themeColor="text1"/>
          <w:sz w:val="24"/>
          <w:szCs w:val="24"/>
          <w:shd w:val="clear" w:color="auto" w:fill="FFFFFF"/>
        </w:rPr>
        <w:t>an</w:t>
      </w:r>
      <w:r w:rsidRPr="2030048C">
        <w:rPr>
          <w:rStyle w:val="normaltextrun"/>
          <w:rFonts w:ascii="Arial" w:hAnsi="Arial" w:cs="Arial"/>
          <w:color w:val="000000" w:themeColor="text1"/>
          <w:sz w:val="24"/>
          <w:szCs w:val="24"/>
          <w:shd w:val="clear" w:color="auto" w:fill="FFFFFF"/>
        </w:rPr>
        <w:t>d un</w:t>
      </w:r>
      <w:r w:rsidRPr="2030048C">
        <w:rPr>
          <w:rStyle w:val="normaltextrun"/>
          <w:rFonts w:ascii="Arial" w:hAnsi="Arial" w:cs="Arial"/>
          <w:color w:val="000000" w:themeColor="text1"/>
          <w:sz w:val="24"/>
          <w:szCs w:val="24"/>
          <w:shd w:val="clear" w:color="auto" w:fill="FFFFFF"/>
        </w:rPr>
        <w:t>derstanding of the core elements of Biochemistry</w:t>
      </w:r>
      <w:r w:rsidRPr="2030048C">
        <w:rPr>
          <w:rStyle w:val="normaltextrun"/>
          <w:rFonts w:ascii="Arial" w:hAnsi="Arial" w:cs="Arial"/>
          <w:color w:val="000000" w:themeColor="text1"/>
          <w:sz w:val="24"/>
          <w:szCs w:val="24"/>
          <w:shd w:val="clear" w:color="auto" w:fill="FFFFFF"/>
        </w:rPr>
        <w:t xml:space="preserve"> and </w:t>
      </w:r>
      <w:r w:rsidRPr="2030048C">
        <w:rPr>
          <w:rStyle w:val="normaltextrun"/>
          <w:rFonts w:ascii="Arial" w:hAnsi="Arial" w:cs="Arial"/>
          <w:color w:val="000000" w:themeColor="text1"/>
          <w:sz w:val="24"/>
          <w:szCs w:val="24"/>
          <w:shd w:val="clear" w:color="auto" w:fill="FFFFFF"/>
        </w:rPr>
        <w:t xml:space="preserve">those of </w:t>
      </w:r>
      <w:r w:rsidRPr="2030048C">
        <w:rPr>
          <w:rStyle w:val="normaltextrun"/>
          <w:rFonts w:ascii="Arial" w:hAnsi="Arial" w:cs="Arial"/>
          <w:color w:val="000000" w:themeColor="text1"/>
          <w:sz w:val="24"/>
          <w:szCs w:val="24"/>
          <w:shd w:val="clear" w:color="auto" w:fill="FFFFFF"/>
        </w:rPr>
        <w:t>clos</w:t>
      </w:r>
      <w:r w:rsidRPr="2030048C">
        <w:rPr>
          <w:rStyle w:val="normaltextrun"/>
          <w:rFonts w:ascii="Arial" w:hAnsi="Arial" w:cs="Arial"/>
          <w:color w:val="000000" w:themeColor="text1"/>
          <w:sz w:val="24"/>
          <w:szCs w:val="24"/>
          <w:shd w:val="clear" w:color="auto" w:fill="FFFFFF"/>
        </w:rPr>
        <w:t xml:space="preserve">ely </w:t>
      </w:r>
      <w:r w:rsidRPr="2030048C">
        <w:rPr>
          <w:rStyle w:val="normaltextrun"/>
          <w:rFonts w:ascii="Arial" w:hAnsi="Arial" w:cs="Arial"/>
          <w:color w:val="000000" w:themeColor="text1"/>
          <w:sz w:val="24"/>
          <w:szCs w:val="24"/>
          <w:shd w:val="clear" w:color="auto" w:fill="FFFFFF"/>
        </w:rPr>
        <w:t>related</w:t>
      </w:r>
      <w:r w:rsidRPr="2030048C">
        <w:rPr>
          <w:rStyle w:val="normaltextrun"/>
          <w:rFonts w:ascii="Arial" w:hAnsi="Arial" w:cs="Arial"/>
          <w:color w:val="000000" w:themeColor="text1"/>
          <w:sz w:val="24"/>
          <w:szCs w:val="24"/>
          <w:shd w:val="clear" w:color="auto" w:fill="FFFFFF"/>
        </w:rPr>
        <w:t xml:space="preserve"> subject</w:t>
      </w:r>
      <w:r w:rsidRPr="2030048C">
        <w:rPr>
          <w:rStyle w:val="normaltextrun"/>
          <w:rFonts w:ascii="Arial" w:hAnsi="Arial" w:cs="Arial"/>
          <w:color w:val="000000" w:themeColor="text1"/>
          <w:sz w:val="24"/>
          <w:szCs w:val="24"/>
          <w:shd w:val="clear" w:color="auto" w:fill="FFFFFF"/>
        </w:rPr>
        <w:t xml:space="preserve"> areas</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to identify, </w:t>
      </w:r>
      <w:r w:rsidRPr="2030048C">
        <w:rPr>
          <w:rStyle w:val="normaltextrun"/>
          <w:rFonts w:ascii="Arial" w:hAnsi="Arial" w:cs="Arial"/>
          <w:color w:val="000000" w:themeColor="text1"/>
          <w:sz w:val="24"/>
          <w:szCs w:val="24"/>
          <w:shd w:val="clear" w:color="auto" w:fill="FFFFFF"/>
        </w:rPr>
        <w:t>locate and critically appraise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primary and secondary </w:t>
      </w:r>
      <w:r w:rsidRPr="2030048C">
        <w:rPr>
          <w:rStyle w:val="normaltextrun"/>
          <w:rFonts w:ascii="Arial" w:hAnsi="Arial" w:cs="Arial"/>
          <w:color w:val="000000" w:themeColor="text1"/>
          <w:sz w:val="24"/>
          <w:szCs w:val="24"/>
          <w:shd w:val="clear" w:color="auto" w:fill="FFFFFF"/>
        </w:rPr>
        <w:t xml:space="preserve">literature </w:t>
      </w:r>
      <w:r w:rsidRPr="2030048C">
        <w:rPr>
          <w:rStyle w:val="normaltextrun"/>
          <w:rFonts w:ascii="Arial" w:hAnsi="Arial" w:cs="Arial"/>
          <w:color w:val="000000" w:themeColor="text1"/>
          <w:sz w:val="24"/>
          <w:szCs w:val="24"/>
          <w:shd w:val="clear" w:color="auto" w:fill="FFFFFF"/>
        </w:rPr>
        <w:t>sources as a basis for independent st</w:t>
      </w:r>
      <w:r w:rsidRPr="2030048C">
        <w:rPr>
          <w:rStyle w:val="normaltextrun"/>
          <w:rFonts w:ascii="Arial" w:hAnsi="Arial" w:cs="Arial"/>
          <w:color w:val="000000" w:themeColor="text1"/>
          <w:sz w:val="24"/>
          <w:szCs w:val="24"/>
          <w:shd w:val="clear" w:color="auto" w:fill="FFFFFF"/>
        </w:rPr>
        <w:t xml:space="preserve">udy and to conduct a major research project </w:t>
      </w:r>
      <w:r w:rsidRPr="2030048C">
        <w:rPr>
          <w:rStyle w:val="normaltextrun"/>
          <w:rFonts w:ascii="Arial" w:hAnsi="Arial" w:cs="Arial"/>
          <w:color w:val="000000" w:themeColor="text1"/>
          <w:sz w:val="24"/>
          <w:szCs w:val="24"/>
          <w:shd w:val="clear" w:color="auto" w:fill="FFFFFF"/>
        </w:rPr>
        <w:t>at level 6</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extens</w:t>
      </w:r>
      <w:r w:rsidRPr="2030048C">
        <w:rPr>
          <w:rStyle w:val="normaltextrun"/>
          <w:rFonts w:ascii="Arial" w:hAnsi="Arial" w:cs="Arial"/>
          <w:color w:val="000000" w:themeColor="text1"/>
          <w:sz w:val="24"/>
          <w:szCs w:val="24"/>
          <w:shd w:val="clear" w:color="auto" w:fill="FFFFFF"/>
        </w:rPr>
        <w:t>iv</w:t>
      </w:r>
      <w:r w:rsidRPr="2030048C">
        <w:rPr>
          <w:rStyle w:val="normaltextrun"/>
          <w:rFonts w:ascii="Arial" w:hAnsi="Arial" w:cs="Arial"/>
          <w:color w:val="000000" w:themeColor="text1"/>
          <w:sz w:val="24"/>
          <w:szCs w:val="24"/>
          <w:shd w:val="clear" w:color="auto" w:fill="FFFFFF"/>
        </w:rPr>
        <w:t>e an</w:t>
      </w:r>
      <w:r w:rsidRPr="2030048C">
        <w:rPr>
          <w:rStyle w:val="normaltextrun"/>
          <w:rFonts w:ascii="Arial" w:hAnsi="Arial" w:cs="Arial"/>
          <w:color w:val="000000" w:themeColor="text1"/>
          <w:sz w:val="24"/>
          <w:szCs w:val="24"/>
          <w:shd w:val="clear" w:color="auto" w:fill="FFFFFF"/>
        </w:rPr>
        <w:t>d varied subject related practical skills and competence in the collection, analysis, inter</w:t>
      </w:r>
      <w:r w:rsidRPr="2030048C">
        <w:rPr>
          <w:rStyle w:val="normaltextrun"/>
          <w:rFonts w:ascii="Arial" w:hAnsi="Arial" w:cs="Arial"/>
          <w:color w:val="000000" w:themeColor="text1"/>
          <w:sz w:val="24"/>
          <w:szCs w:val="24"/>
          <w:shd w:val="clear" w:color="auto" w:fill="FFFFFF"/>
        </w:rPr>
        <w:t>pretation and repr</w:t>
      </w:r>
      <w:r w:rsidRPr="2030048C">
        <w:rPr>
          <w:rStyle w:val="normaltextrun"/>
          <w:rFonts w:ascii="Arial" w:hAnsi="Arial" w:cs="Arial"/>
          <w:color w:val="000000" w:themeColor="text1"/>
          <w:sz w:val="24"/>
          <w:szCs w:val="24"/>
          <w:shd w:val="clear" w:color="auto" w:fill="FFFFFF"/>
        </w:rPr>
        <w:t>esentation of</w:t>
      </w:r>
      <w:r w:rsidRPr="2030048C">
        <w:rPr>
          <w:rStyle w:val="normaltextrun"/>
          <w:rFonts w:ascii="Arial" w:hAnsi="Arial" w:cs="Arial"/>
          <w:color w:val="000000" w:themeColor="text1"/>
          <w:sz w:val="24"/>
          <w:szCs w:val="24"/>
          <w:shd w:val="clear" w:color="auto" w:fill="FFFFFF"/>
        </w:rPr>
        <w:t xml:space="preserve"> scientific data and information;</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afford students with the</w:t>
      </w:r>
      <w:r w:rsidRPr="2030048C">
        <w:rPr>
          <w:rStyle w:val="normaltextrun"/>
          <w:rFonts w:ascii="Arial" w:hAnsi="Arial" w:cs="Arial"/>
          <w:color w:val="000000" w:themeColor="text1"/>
          <w:sz w:val="24"/>
          <w:szCs w:val="24"/>
          <w:shd w:val="clear" w:color="auto" w:fill="FFFFFF"/>
        </w:rPr>
        <w:t xml:space="preserve"> opportunities to develop their written</w:t>
      </w:r>
      <w:r w:rsidRPr="2030048C">
        <w:rPr>
          <w:rStyle w:val="normaltextrun"/>
          <w:rFonts w:ascii="Arial" w:hAnsi="Arial" w:cs="Arial"/>
          <w:color w:val="000000" w:themeColor="text1"/>
          <w:sz w:val="24"/>
          <w:szCs w:val="24"/>
          <w:shd w:val="clear" w:color="auto" w:fill="FFFFFF"/>
        </w:rPr>
        <w:t xml:space="preserve"> and oral communication skills</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nabl</w:t>
      </w:r>
      <w:r w:rsidRPr="2030048C">
        <w:rPr>
          <w:rStyle w:val="normaltextrun"/>
          <w:rFonts w:ascii="Arial" w:hAnsi="Arial" w:cs="Arial"/>
          <w:color w:val="000000" w:themeColor="text1"/>
          <w:sz w:val="24"/>
          <w:szCs w:val="24"/>
          <w:shd w:val="clear" w:color="auto" w:fill="FFFFFF"/>
        </w:rPr>
        <w:t>e students to develop their independent study skills using both primary and secondary literature sources;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w:t>
      </w:r>
      <w:r w:rsidRPr="2030048C">
        <w:rPr>
          <w:rStyle w:val="normaltextrun"/>
          <w:rFonts w:ascii="Arial" w:hAnsi="Arial" w:cs="Arial"/>
          <w:color w:val="000000" w:themeColor="text1"/>
          <w:sz w:val="24"/>
          <w:szCs w:val="24"/>
          <w:shd w:val="clear" w:color="auto" w:fill="FFFFFF"/>
        </w:rPr>
        <w:t>pare students for graduate employment, research, further study and life</w:t>
      </w:r>
      <w:r w:rsidRPr="2030048C">
        <w:rPr>
          <w:rStyle w:val="normaltextrun"/>
          <w:rFonts w:ascii="Arial" w:hAnsi="Arial" w:cs="Arial"/>
          <w:color w:val="000000" w:themeColor="text1"/>
          <w:sz w:val="24"/>
          <w:szCs w:val="24"/>
          <w:shd w:val="clear" w:color="auto" w:fill="FFFFFF"/>
        </w:rPr>
        <w:t>long learning by developing their intellectual, problem solving,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communication</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numeracy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and </w:t>
      </w:r>
      <w:r w:rsidRPr="2030048C">
        <w:rPr>
          <w:rStyle w:val="normaltextrun"/>
          <w:rFonts w:ascii="Arial" w:hAnsi="Arial" w:cs="Arial"/>
          <w:color w:val="000000" w:themeColor="text1"/>
          <w:sz w:val="24"/>
          <w:szCs w:val="24"/>
          <w:shd w:val="clear" w:color="auto" w:fill="FFFFFF"/>
        </w:rPr>
        <w:t>ICT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pract</w:t>
      </w:r>
      <w:r w:rsidRPr="2030048C">
        <w:rPr>
          <w:rStyle w:val="normaltextrun"/>
          <w:rFonts w:ascii="Arial" w:hAnsi="Arial" w:cs="Arial"/>
          <w:color w:val="000000" w:themeColor="text1"/>
          <w:sz w:val="24"/>
          <w:szCs w:val="24"/>
          <w:shd w:val="clear" w:color="auto" w:fill="FFFFFF"/>
        </w:rPr>
        <w:t>ic</w:t>
      </w:r>
      <w:r w:rsidRPr="2030048C">
        <w:rPr>
          <w:rStyle w:val="normaltextrun"/>
          <w:rFonts w:ascii="Arial" w:hAnsi="Arial" w:cs="Arial"/>
          <w:color w:val="000000" w:themeColor="text1"/>
          <w:sz w:val="24"/>
          <w:szCs w:val="24"/>
          <w:shd w:val="clear" w:color="auto" w:fill="FFFFFF"/>
        </w:rPr>
        <w:t>al a</w:t>
      </w:r>
      <w:r w:rsidRPr="2030048C">
        <w:rPr>
          <w:rStyle w:val="normaltextrun"/>
          <w:rFonts w:ascii="Arial" w:hAnsi="Arial" w:cs="Arial"/>
          <w:color w:val="000000" w:themeColor="text1"/>
          <w:sz w:val="24"/>
          <w:szCs w:val="24"/>
          <w:shd w:val="clear" w:color="auto" w:fill="FFFFFF"/>
        </w:rPr>
        <w:t>nd key (transferable) skills;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w:t>
      </w:r>
      <w:r w:rsidRPr="2030048C">
        <w:rPr>
          <w:rStyle w:val="normaltextrun"/>
          <w:rFonts w:ascii="Arial" w:hAnsi="Arial" w:cs="Arial"/>
          <w:color w:val="000000" w:themeColor="text1"/>
          <w:sz w:val="24"/>
          <w:szCs w:val="24"/>
          <w:shd w:val="clear" w:color="auto" w:fill="FFFFFF"/>
        </w:rPr>
        <w:t xml:space="preserve">student </w:t>
      </w:r>
      <w:r w:rsidRPr="2030048C">
        <w:rPr>
          <w:rStyle w:val="normaltextrun"/>
          <w:rFonts w:ascii="Arial" w:hAnsi="Arial" w:cs="Arial"/>
          <w:color w:val="000000" w:themeColor="text1"/>
          <w:sz w:val="24"/>
          <w:szCs w:val="24"/>
          <w:shd w:val="clear" w:color="auto" w:fill="FFFFFF"/>
        </w:rPr>
        <w:t xml:space="preserve">creativity and innovation </w:t>
      </w:r>
      <w:r w:rsidRPr="2030048C">
        <w:rPr>
          <w:rStyle w:val="normaltextrun"/>
          <w:rFonts w:ascii="Arial" w:hAnsi="Arial" w:cs="Arial"/>
          <w:color w:val="000000" w:themeColor="text1"/>
          <w:sz w:val="24"/>
          <w:szCs w:val="24"/>
          <w:shd w:val="clear" w:color="auto" w:fill="FFFFFF"/>
        </w:rPr>
        <w:t>rele</w:t>
      </w:r>
      <w:r w:rsidRPr="2030048C">
        <w:rPr>
          <w:rStyle w:val="normaltextrun"/>
          <w:rFonts w:ascii="Arial" w:hAnsi="Arial" w:cs="Arial"/>
          <w:color w:val="000000" w:themeColor="text1"/>
          <w:sz w:val="24"/>
          <w:szCs w:val="24"/>
          <w:shd w:val="clear" w:color="auto" w:fill="FFFFFF"/>
        </w:rPr>
        <w:t>vant to the work</w:t>
      </w:r>
      <w:r w:rsidRPr="2030048C">
        <w:rPr>
          <w:rStyle w:val="normaltextrun"/>
          <w:rFonts w:ascii="Arial" w:hAnsi="Arial" w:cs="Arial"/>
          <w:color w:val="000000" w:themeColor="text1"/>
          <w:sz w:val="24"/>
          <w:szCs w:val="24"/>
          <w:shd w:val="clear" w:color="auto" w:fill="FFFFFF"/>
        </w:rPr>
        <w:t xml:space="preserve">place;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undergraduates with a knowledge and ski</w:t>
      </w:r>
      <w:r w:rsidRPr="2030048C">
        <w:rPr>
          <w:rStyle w:val="normaltextrun"/>
          <w:rFonts w:ascii="Arial" w:hAnsi="Arial" w:cs="Arial"/>
          <w:color w:val="000000" w:themeColor="text1"/>
          <w:sz w:val="24"/>
          <w:szCs w:val="24"/>
          <w:shd w:val="clear" w:color="auto" w:fill="FFFFFF"/>
        </w:rPr>
        <w:t>lls base</w:t>
      </w:r>
      <w:r w:rsidRPr="2030048C">
        <w:rPr>
          <w:rStyle w:val="normaltextrun"/>
          <w:rFonts w:ascii="Arial" w:hAnsi="Arial" w:cs="Arial"/>
          <w:color w:val="000000" w:themeColor="text1"/>
          <w:sz w:val="24"/>
          <w:szCs w:val="24"/>
          <w:shd w:val="clear" w:color="auto" w:fill="FFFFFF"/>
        </w:rPr>
        <w:t xml:space="preserve"> th</w:t>
      </w:r>
      <w:r w:rsidRPr="2030048C">
        <w:rPr>
          <w:rStyle w:val="normaltextrun"/>
          <w:rFonts w:ascii="Arial" w:hAnsi="Arial" w:cs="Arial"/>
          <w:color w:val="000000" w:themeColor="text1"/>
          <w:sz w:val="24"/>
          <w:szCs w:val="24"/>
          <w:shd w:val="clear" w:color="auto" w:fill="FFFFFF"/>
        </w:rPr>
        <w:t xml:space="preserve">at </w:t>
      </w:r>
      <w:r w:rsidRPr="2030048C">
        <w:rPr>
          <w:rStyle w:val="normaltextrun"/>
          <w:rFonts w:ascii="Arial" w:hAnsi="Arial" w:cs="Arial"/>
          <w:color w:val="000000" w:themeColor="text1"/>
          <w:sz w:val="24"/>
          <w:szCs w:val="24"/>
          <w:shd w:val="clear" w:color="auto" w:fill="FFFFFF"/>
        </w:rPr>
        <w:t>allow pursuit of both scientific and non-scientific careers in a variety of w</w:t>
      </w:r>
      <w:r w:rsidRPr="2030048C">
        <w:rPr>
          <w:rStyle w:val="normaltextrun"/>
          <w:rFonts w:ascii="Arial" w:hAnsi="Arial" w:cs="Arial"/>
          <w:color w:val="000000" w:themeColor="text1"/>
          <w:sz w:val="24"/>
          <w:szCs w:val="24"/>
          <w:shd w:val="clear" w:color="auto" w:fill="FFFFFF"/>
        </w:rPr>
        <w:t>ork environments</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Additionally, for students following the </w:t>
      </w:r>
      <w:r w:rsidRPr="2030048C">
        <w:rPr>
          <w:rStyle w:val="normaltextrun"/>
          <w:rFonts w:ascii="Arial" w:hAnsi="Arial" w:cs="Arial"/>
          <w:color w:val="000000" w:themeColor="text1"/>
          <w:sz w:val="24"/>
          <w:szCs w:val="24"/>
          <w:shd w:val="clear" w:color="auto" w:fill="FFFFFF"/>
        </w:rPr>
        <w:t>plac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ment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programme:</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enable students </w:t>
      </w: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com</w:t>
      </w:r>
      <w:r w:rsidRPr="2030048C">
        <w:rPr>
          <w:rStyle w:val="normaltextrun"/>
          <w:rFonts w:ascii="Arial" w:hAnsi="Arial" w:cs="Arial"/>
          <w:color w:val="000000" w:themeColor="text1"/>
          <w:sz w:val="24"/>
          <w:szCs w:val="24"/>
          <w:shd w:val="clear" w:color="auto" w:fill="FFFFFF"/>
        </w:rPr>
        <w:t>plete a period of work experience within a research institute,</w:t>
      </w:r>
      <w:r w:rsidRPr="2030048C">
        <w:rPr>
          <w:rStyle w:val="normaltextrun"/>
          <w:rFonts w:ascii="Arial" w:hAnsi="Arial" w:cs="Arial"/>
          <w:color w:val="000000" w:themeColor="text1"/>
          <w:sz w:val="24"/>
          <w:szCs w:val="24"/>
          <w:shd w:val="clear" w:color="auto" w:fill="FFFFFF"/>
        </w:rPr>
        <w:t xml:space="preserve"> pha</w:t>
      </w:r>
      <w:r w:rsidRPr="2030048C">
        <w:rPr>
          <w:rStyle w:val="normaltextrun"/>
          <w:rFonts w:ascii="Arial" w:hAnsi="Arial" w:cs="Arial"/>
          <w:color w:val="000000" w:themeColor="text1"/>
          <w:sz w:val="24"/>
          <w:szCs w:val="24"/>
          <w:shd w:val="clear" w:color="auto" w:fill="FFFFFF"/>
        </w:rPr>
        <w:t>rmaceutical industry or hospital laboratory, building upon their previous academic knowledge and experience</w:t>
      </w:r>
      <w:r w:rsidRPr="2030048C">
        <w:rPr>
          <w:rStyle w:val="normaltextrun"/>
          <w:rFonts w:ascii="Arial" w:hAnsi="Arial" w:cs="Arial"/>
          <w:color w:val="000000" w:themeColor="text1"/>
          <w:sz w:val="24"/>
          <w:szCs w:val="24"/>
          <w:shd w:val="clear" w:color="auto" w:fill="FFFFFF"/>
        </w:rPr>
        <w:t>; and</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an insight into the role of a biochemist by gaini</w:t>
      </w:r>
      <w:r w:rsidRPr="2030048C">
        <w:rPr>
          <w:rStyle w:val="normaltextrun"/>
          <w:rFonts w:ascii="Arial" w:hAnsi="Arial" w:cs="Arial"/>
          <w:color w:val="000000" w:themeColor="text1"/>
          <w:sz w:val="24"/>
          <w:szCs w:val="24"/>
          <w:shd w:val="clear" w:color="auto" w:fill="FFFFFF"/>
        </w:rPr>
        <w:t xml:space="preserve">ng </w:t>
      </w:r>
      <w:r w:rsidRPr="2030048C">
        <w:rPr>
          <w:rStyle w:val="normaltextrun"/>
          <w:rFonts w:ascii="Arial" w:hAnsi="Arial" w:cs="Arial"/>
          <w:color w:val="000000" w:themeColor="text1"/>
          <w:sz w:val="24"/>
          <w:szCs w:val="24"/>
          <w:shd w:val="clear" w:color="auto" w:fill="FFFFFF"/>
        </w:rPr>
        <w:t>fir</w:t>
      </w:r>
      <w:r w:rsidRPr="2030048C">
        <w:rPr>
          <w:rStyle w:val="normaltextrun"/>
          <w:rFonts w:ascii="Arial" w:hAnsi="Arial" w:cs="Arial"/>
          <w:color w:val="000000" w:themeColor="text1"/>
          <w:sz w:val="24"/>
          <w:szCs w:val="24"/>
          <w:shd w:val="clear" w:color="auto" w:fill="FFFFFF"/>
        </w:rPr>
        <w:t>st-hand experience and thus increase their awareness of career</w:t>
      </w:r>
      <w:r w:rsidRPr="2030048C">
        <w:rPr>
          <w:rStyle w:val="normaltextrun"/>
          <w:rFonts w:ascii="Arial" w:hAnsi="Arial" w:cs="Arial"/>
          <w:color w:val="000000" w:themeColor="text1"/>
          <w:sz w:val="24"/>
          <w:szCs w:val="24"/>
          <w:shd w:val="clear" w:color="auto" w:fill="FFFFFF"/>
        </w:rPr>
        <w:t>s op</w:t>
      </w:r>
      <w:r w:rsidRPr="2030048C">
        <w:rPr>
          <w:rStyle w:val="normaltextrun"/>
          <w:rFonts w:ascii="Arial" w:hAnsi="Arial" w:cs="Arial"/>
          <w:color w:val="000000" w:themeColor="text1"/>
          <w:sz w:val="24"/>
          <w:szCs w:val="24"/>
          <w:shd w:val="clear" w:color="auto" w:fill="FFFFFF"/>
        </w:rPr>
        <w:t>portunities within various industries</w:t>
      </w:r>
      <w:r w:rsidRPr="2030048C">
        <w:rPr>
          <w:rStyle w:val="normaltextrun"/>
          <w:rFonts w:ascii="Arial" w:hAnsi="Arial" w:cs="Arial"/>
          <w:color w:val="000000" w:themeColor="text1"/>
          <w:sz w:val="24"/>
          <w:szCs w:val="24"/>
          <w:shd w:val="clear" w:color="auto" w:fill="FFFFFF"/>
        </w:rPr>
        <w: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career opportunities within biochemistry, or related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interpretation and reporting of laboratory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molecular biology techniques (including bioinformatics), and application of molecular genetics within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conversant with the detailed and strict requirements of facilities and procedures used in biochemistry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bioanalytical techniques 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an independent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perform in an efficient manner the techniques used widely in biochemistry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health and safety procedures in the biochemical laboratory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subject-related practical work safely and understand and comply with ethical and safety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information technology, databases and analytical tools in biochemistry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molecular basis of selected human diseases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critically evaluate and appraise information from both primary and secondary sources, and where appropriate integrate information from multiple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structure of the major classes of biochemical compounds and the relationship of these structural attributes to their function within a cell/organism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w:t>
      </w:r>
      <w:r w:rsidRPr="2030048C">
        <w:rPr>
          <w:rFonts w:ascii="Arial" w:eastAsia="Arial" w:hAnsi="Arial" w:cs="Arial"/>
          <w:color w:val="000000" w:themeColor="text1" w:themeShade="FF" w:themeTint="FF"/>
          <w:sz w:val="24"/>
          <w:szCs w:val="24"/>
        </w:rPr>
        <w:t xml:space="preserve">full-time </w:t>
      </w:r>
      <w:r w:rsidRPr="2030048C">
        <w:rPr>
          <w:rFonts w:ascii="Arial" w:eastAsia="Arial" w:hAnsi="Arial" w:cs="Arial"/>
          <w:color w:val="000000" w:themeColor="text1" w:themeShade="FF" w:themeTint="FF"/>
          <w:sz w:val="24"/>
          <w:szCs w:val="24"/>
        </w:rPr>
        <w:t>p</w:t>
      </w:r>
      <w:r w:rsidRPr="2030048C">
        <w:rPr>
          <w:rFonts w:ascii="Arial" w:eastAsia="Arial" w:hAnsi="Arial" w:cs="Arial"/>
          <w:color w:val="000000" w:themeColor="text1" w:themeShade="FF" w:themeTint="FF"/>
          <w:sz w:val="24"/>
          <w:szCs w:val="24"/>
        </w:rPr>
        <w:t>lacement</w:t>
      </w:r>
      <w:r w:rsidRPr="2030048C">
        <w:rPr>
          <w:rFonts w:ascii="Arial" w:eastAsia="Arial" w:hAnsi="Arial" w:cs="Arial"/>
          <w:color w:val="000000" w:themeColor="text1" w:themeShade="FF" w:themeTint="FF"/>
          <w:sz w:val="24"/>
          <w:szCs w:val="24"/>
        </w:rPr>
        <w:t xml:space="preserve">/part-time </w:t>
      </w:r>
      <w:r w:rsidRPr="2030048C">
        <w:rPr>
          <w:rFonts w:ascii="Arial" w:eastAsia="Arial" w:hAnsi="Arial" w:cs="Arial"/>
          <w:color w:val="000000" w:themeColor="text1" w:themeShade="FF" w:themeTint="FF"/>
          <w:sz w:val="24"/>
          <w:szCs w:val="24"/>
        </w:rPr>
        <w:t>mode and</w:t>
      </w:r>
      <w:r w:rsidRPr="2030048C">
        <w:rPr>
          <w:rFonts w:ascii="Arial" w:eastAsia="Arial" w:hAnsi="Arial" w:cs="Arial"/>
          <w:color w:val="000000" w:themeColor="text1" w:themeShade="FF" w:themeTint="FF"/>
          <w:sz w:val="24"/>
          <w:szCs w:val="24"/>
        </w:rPr>
        <w:t xml:space="preserve"> leads to the award of BSc (Hons) Biochemistry</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Entry is normally at level 4 with A-level or eq</w:t>
      </w:r>
      <w:r w:rsidRPr="2030048C">
        <w:rPr>
          <w:rFonts w:ascii="Arial" w:eastAsia="Arial" w:hAnsi="Arial" w:cs="Arial"/>
          <w:color w:val="000000" w:themeColor="text1" w:themeShade="FF" w:themeTint="FF"/>
          <w:sz w:val="24"/>
          <w:szCs w:val="24"/>
        </w:rPr>
        <w:t>u</w:t>
      </w:r>
      <w:r w:rsidRPr="2030048C">
        <w:rPr>
          <w:rFonts w:ascii="Arial" w:eastAsia="Arial" w:hAnsi="Arial" w:cs="Arial"/>
          <w:color w:val="000000" w:themeColor="text1" w:themeShade="FF" w:themeTint="FF"/>
          <w:sz w:val="24"/>
          <w:szCs w:val="24"/>
        </w:rPr>
        <w:t>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w:t>
      </w:r>
      <w:r w:rsidRPr="2030048C">
        <w:rPr>
          <w:rFonts w:ascii="Arial" w:eastAsia="Arial" w:hAnsi="Arial" w:cs="Arial"/>
          <w:color w:val="000000" w:themeColor="text1" w:themeShade="FF" w:themeTint="FF"/>
          <w:sz w:val="24"/>
          <w:szCs w:val="24"/>
        </w:rPr>
        <w:t>r f</w:t>
      </w:r>
      <w:r w:rsidRPr="2030048C">
        <w:rPr>
          <w:rFonts w:ascii="Arial" w:eastAsia="Arial" w:hAnsi="Arial" w:cs="Arial"/>
          <w:color w:val="000000" w:themeColor="text1" w:themeShade="FF" w:themeTint="FF"/>
          <w:sz w:val="24"/>
          <w:szCs w:val="24"/>
        </w:rPr>
        <w:t>rom</w:t>
      </w:r>
      <w:r w:rsidRPr="2030048C">
        <w:rPr>
          <w:rFonts w:ascii="Arial" w:eastAsia="Arial" w:hAnsi="Arial" w:cs="Arial"/>
          <w:color w:val="000000" w:themeColor="text1" w:themeShade="FF" w:themeTint="FF"/>
          <w:sz w:val="24"/>
          <w:szCs w:val="24"/>
        </w:rPr>
        <w:t xml:space="preserve"> a s</w:t>
      </w:r>
      <w:r w:rsidRPr="2030048C">
        <w:rPr>
          <w:rFonts w:ascii="Arial" w:eastAsia="Arial" w:hAnsi="Arial" w:cs="Arial"/>
          <w:color w:val="000000" w:themeColor="text1" w:themeShade="FF" w:themeTint="FF"/>
          <w:sz w:val="24"/>
          <w:szCs w:val="24"/>
        </w:rPr>
        <w:t xml:space="preserve">imilar programme is possible at level 5 with passes in comparable level 4 modules – but is at the </w:t>
      </w:r>
      <w:r w:rsidRPr="2030048C">
        <w:rPr>
          <w:rFonts w:ascii="Arial" w:eastAsia="Arial" w:hAnsi="Arial" w:cs="Arial"/>
          <w:color w:val="000000" w:themeColor="text1" w:themeShade="FF" w:themeTint="FF"/>
          <w:sz w:val="24"/>
          <w:szCs w:val="24"/>
        </w:rPr>
        <w:t xml:space="preserve">discretion of the course team. </w:t>
      </w:r>
      <w:r w:rsidRPr="2030048C">
        <w:rPr>
          <w:rFonts w:ascii="Arial" w:eastAsia="Arial" w:hAnsi="Arial" w:cs="Arial"/>
          <w:color w:val="000000" w:themeColor="text1" w:themeShade="FF" w:themeTint="FF"/>
          <w:sz w:val="24"/>
          <w:szCs w:val="24"/>
        </w:rPr>
        <w:t>Intake is normally in September.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Students have the opportunity to go</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abroad</w:t>
      </w: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after their </w:t>
      </w:r>
      <w:r w:rsidRPr="2030048C">
        <w:rPr>
          <w:rFonts w:ascii="Arial" w:eastAsia="Arial" w:hAnsi="Arial" w:cs="Arial"/>
          <w:color w:val="000000" w:themeColor="text1" w:themeShade="FF" w:themeTint="FF"/>
          <w:sz w:val="24"/>
          <w:szCs w:val="24"/>
        </w:rPr>
        <w:t xml:space="preserve">level 4 </w:t>
      </w:r>
      <w:r w:rsidRPr="2030048C">
        <w:rPr>
          <w:rFonts w:ascii="Arial" w:eastAsia="Arial" w:hAnsi="Arial" w:cs="Arial"/>
          <w:color w:val="000000" w:themeColor="text1" w:themeShade="FF" w:themeTint="FF"/>
          <w:sz w:val="24"/>
          <w:szCs w:val="24"/>
        </w:rPr>
        <w:t>studies</w:t>
      </w:r>
      <w:r w:rsidRPr="2030048C">
        <w:rPr>
          <w:rFonts w:ascii="Arial" w:eastAsia="Arial" w:hAnsi="Arial" w:cs="Arial"/>
          <w:b/>
          <w:b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through bilat</w:t>
      </w:r>
      <w:r w:rsidRPr="2030048C">
        <w:rPr>
          <w:rFonts w:ascii="Arial" w:eastAsia="Arial" w:hAnsi="Arial" w:cs="Arial"/>
          <w:color w:val="000000" w:themeColor="text1" w:themeShade="FF" w:themeTint="FF"/>
          <w:sz w:val="24"/>
          <w:szCs w:val="24"/>
        </w:rPr>
        <w:t>era</w:t>
      </w:r>
      <w:r w:rsidRPr="2030048C">
        <w:rPr>
          <w:rFonts w:ascii="Arial" w:eastAsia="Arial" w:hAnsi="Arial" w:cs="Arial"/>
          <w:color w:val="000000" w:themeColor="text1" w:themeShade="FF" w:themeTint="FF"/>
          <w:sz w:val="24"/>
          <w:szCs w:val="24"/>
        </w:rPr>
        <w:t>l a</w:t>
      </w:r>
      <w:r w:rsidRPr="2030048C">
        <w:rPr>
          <w:rFonts w:ascii="Arial" w:eastAsia="Arial" w:hAnsi="Arial" w:cs="Arial"/>
          <w:color w:val="000000" w:themeColor="text1" w:themeShade="FF" w:themeTint="FF"/>
          <w:sz w:val="24"/>
          <w:szCs w:val="24"/>
        </w:rPr>
        <w:t>gree</w:t>
      </w:r>
      <w:r w:rsidRPr="2030048C">
        <w:rPr>
          <w:rFonts w:ascii="Arial" w:eastAsia="Arial" w:hAnsi="Arial" w:cs="Arial"/>
          <w:color w:val="000000" w:themeColor="text1" w:themeShade="FF" w:themeTint="FF"/>
          <w:sz w:val="24"/>
          <w:szCs w:val="24"/>
        </w:rPr>
        <w:t>ments signed with several institutions around the world.</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Each level is made up of four modules </w:t>
      </w:r>
      <w:r w:rsidRPr="2030048C">
        <w:rPr>
          <w:rFonts w:ascii="Arial" w:eastAsia="Arial" w:hAnsi="Arial" w:cs="Arial"/>
          <w:color w:val="000000" w:themeColor="text1" w:themeShade="FF" w:themeTint="FF"/>
          <w:sz w:val="24"/>
          <w:szCs w:val="24"/>
        </w:rPr>
        <w:t>each worth</w:t>
      </w:r>
      <w:r w:rsidRPr="2030048C">
        <w:rPr>
          <w:rFonts w:ascii="Arial" w:eastAsia="Arial" w:hAnsi="Arial" w:cs="Arial"/>
          <w:color w:val="000000" w:themeColor="text1" w:themeShade="FF" w:themeTint="FF"/>
          <w:sz w:val="24"/>
          <w:szCs w:val="24"/>
        </w:rPr>
        <w:t xml:space="preserve"> 30</w:t>
      </w:r>
      <w:r w:rsidRPr="2030048C">
        <w:rPr>
          <w:rFonts w:ascii="Arial" w:eastAsia="Arial" w:hAnsi="Arial" w:cs="Arial"/>
          <w:color w:val="000000" w:themeColor="text1" w:themeShade="FF" w:themeTint="FF"/>
          <w:sz w:val="24"/>
          <w:szCs w:val="24"/>
        </w:rPr>
        <w:t xml:space="preserve"> cr</w:t>
      </w:r>
      <w:r w:rsidRPr="2030048C">
        <w:rPr>
          <w:rFonts w:ascii="Arial" w:eastAsia="Arial" w:hAnsi="Arial" w:cs="Arial"/>
          <w:color w:val="000000" w:themeColor="text1" w:themeShade="FF" w:themeTint="FF"/>
          <w:sz w:val="24"/>
          <w:szCs w:val="24"/>
        </w:rPr>
        <w:t>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w:t>
      </w:r>
      <w:r w:rsidRPr="2030048C">
        <w:rPr>
          <w:rFonts w:ascii="Arial" w:eastAsia="Arial" w:hAnsi="Arial" w:cs="Arial"/>
          <w:color w:val="000000" w:themeColor="text1" w:themeShade="FF" w:themeTint="FF"/>
          <w:sz w:val="24"/>
          <w:szCs w:val="24"/>
        </w:rPr>
        <w:t xml:space="preserve"> a student must complet</w:t>
      </w:r>
      <w:r w:rsidRPr="2030048C">
        <w:rPr>
          <w:rFonts w:ascii="Arial" w:eastAsia="Arial" w:hAnsi="Arial" w:cs="Arial"/>
          <w:color w:val="000000" w:themeColor="text1" w:themeShade="FF" w:themeTint="FF"/>
          <w:sz w:val="24"/>
          <w:szCs w:val="24"/>
        </w:rPr>
        <w: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w:t>
      </w:r>
      <w:r w:rsidRPr="2030048C">
        <w:rPr>
          <w:rFonts w:ascii="Arial" w:eastAsia="Arial" w:hAnsi="Arial" w:cs="Arial"/>
          <w:color w:val="000000" w:themeColor="text1" w:themeShade="FF" w:themeTint="FF"/>
          <w:sz w:val="24"/>
          <w:szCs w:val="24"/>
        </w:rPr>
        <w:t>d</w:t>
      </w:r>
      <w:r w:rsidRPr="2030048C">
        <w:rPr>
          <w:rFonts w:ascii="Arial" w:eastAsia="Arial" w:hAnsi="Arial" w:cs="Arial"/>
          <w:color w:val="000000" w:themeColor="text1" w:themeShade="FF" w:themeTint="FF"/>
          <w:sz w:val="24"/>
          <w:szCs w:val="24"/>
        </w:rPr>
        <w:t>itation by outside bodies (e.g.</w:t>
      </w:r>
      <w:r w:rsidRPr="2030048C">
        <w:rPr>
          <w:rFonts w:ascii="Arial" w:eastAsia="Arial" w:hAnsi="Arial" w:cs="Arial"/>
          <w:color w:val="000000" w:themeColor="text1" w:themeShade="FF" w:themeTint="FF"/>
          <w:sz w:val="24"/>
          <w:szCs w:val="24"/>
        </w:rPr>
        <w:t xml:space="preserve"> professio</w:t>
      </w:r>
      <w:r w:rsidRPr="2030048C">
        <w:rPr>
          <w:rFonts w:ascii="Arial" w:eastAsia="Arial" w:hAnsi="Arial" w:cs="Arial"/>
          <w:color w:val="000000" w:themeColor="text1" w:themeShade="FF" w:themeTint="FF"/>
          <w:sz w:val="24"/>
          <w:szCs w:val="24"/>
        </w:rPr>
        <w:t>nal</w:t>
      </w:r>
      <w:r w:rsidRPr="2030048C">
        <w:rPr>
          <w:rFonts w:ascii="Arial" w:eastAsia="Arial" w:hAnsi="Arial" w:cs="Arial"/>
          <w:color w:val="000000" w:themeColor="text1" w:themeShade="FF" w:themeTint="FF"/>
          <w:sz w:val="24"/>
          <w:szCs w:val="24"/>
        </w:rPr>
        <w:t xml:space="preserve"> or</w:t>
      </w:r>
      <w:r w:rsidRPr="2030048C">
        <w:rPr>
          <w:rFonts w:ascii="Arial" w:eastAsia="Arial" w:hAnsi="Arial" w:cs="Arial"/>
          <w:color w:val="000000" w:themeColor="text1" w:themeShade="FF" w:themeTint="FF"/>
          <w:sz w:val="24"/>
          <w:szCs w:val="24"/>
        </w:rPr>
        <w:t xml:space="preserve">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w:t>
      </w:r>
      <w:r w:rsidRPr="2030048C">
        <w:rPr>
          <w:rFonts w:ascii="Arial" w:eastAsia="Arial" w:hAnsi="Arial" w:cs="Arial"/>
          <w:color w:val="000000" w:themeColor="text1" w:themeShade="FF" w:themeTint="FF"/>
          <w:sz w:val="24"/>
          <w:szCs w:val="24"/>
        </w:rPr>
        <w:t xml:space="preserve"> of the</w:t>
      </w:r>
      <w:r w:rsidRPr="2030048C">
        <w:rPr>
          <w:rFonts w:ascii="Arial" w:eastAsia="Arial" w:hAnsi="Arial" w:cs="Arial"/>
          <w:color w:val="000000" w:themeColor="text1" w:themeShade="FF" w:themeTint="FF"/>
          <w:sz w:val="24"/>
          <w:szCs w:val="24"/>
        </w:rPr>
        <w:t xml:space="preserve"> programme is designed to provide </w:t>
      </w:r>
      <w:r w:rsidRPr="2030048C">
        <w:rPr>
          <w:rFonts w:ascii="Arial" w:eastAsia="Arial" w:hAnsi="Arial" w:cs="Arial"/>
          <w:color w:val="000000" w:themeColor="text1" w:themeShade="FF" w:themeTint="FF"/>
          <w:sz w:val="24"/>
          <w:szCs w:val="24"/>
        </w:rPr>
        <w:t>stude</w:t>
      </w:r>
      <w:r w:rsidRPr="2030048C">
        <w:rPr>
          <w:rFonts w:ascii="Arial" w:eastAsia="Arial" w:hAnsi="Arial" w:cs="Arial"/>
          <w:color w:val="000000" w:themeColor="text1" w:themeShade="FF" w:themeTint="FF"/>
          <w:sz w:val="24"/>
          <w:szCs w:val="24"/>
        </w:rPr>
        <w:t>n</w:t>
      </w:r>
      <w:r w:rsidRPr="2030048C">
        <w:rPr>
          <w:rFonts w:ascii="Arial" w:eastAsia="Arial" w:hAnsi="Arial" w:cs="Arial"/>
          <w:color w:val="000000" w:themeColor="text1" w:themeShade="FF" w:themeTint="FF"/>
          <w:sz w:val="24"/>
          <w:szCs w:val="24"/>
        </w:rPr>
        <w:t>ts with grounding</w:t>
      </w:r>
      <w:r w:rsidRPr="2030048C">
        <w:rPr>
          <w:rFonts w:ascii="Arial" w:eastAsia="Arial" w:hAnsi="Arial" w:cs="Arial"/>
          <w:color w:val="000000" w:themeColor="text1" w:themeShade="FF" w:themeTint="FF"/>
          <w:sz w:val="24"/>
          <w:szCs w:val="24"/>
        </w:rPr>
        <w:t xml:space="preserve"> in the biolog</w:t>
      </w:r>
      <w:r w:rsidRPr="2030048C">
        <w:rPr>
          <w:rFonts w:ascii="Arial" w:eastAsia="Arial" w:hAnsi="Arial" w:cs="Arial"/>
          <w:color w:val="000000" w:themeColor="text1" w:themeShade="FF" w:themeTint="FF"/>
          <w:sz w:val="24"/>
          <w:szCs w:val="24"/>
        </w:rPr>
        <w:t>ical and c</w:t>
      </w:r>
      <w:r w:rsidRPr="2030048C">
        <w:rPr>
          <w:rFonts w:ascii="Arial" w:eastAsia="Arial" w:hAnsi="Arial" w:cs="Arial"/>
          <w:color w:val="000000" w:themeColor="text1" w:themeShade="FF" w:themeTint="FF"/>
          <w:sz w:val="24"/>
          <w:szCs w:val="24"/>
        </w:rPr>
        <w:t>hem</w:t>
      </w:r>
      <w:r w:rsidRPr="2030048C">
        <w:rPr>
          <w:rFonts w:ascii="Arial" w:eastAsia="Arial" w:hAnsi="Arial" w:cs="Arial"/>
          <w:color w:val="000000" w:themeColor="text1" w:themeShade="FF" w:themeTint="FF"/>
          <w:sz w:val="24"/>
          <w:szCs w:val="24"/>
        </w:rPr>
        <w:t>ica</w:t>
      </w:r>
      <w:r w:rsidRPr="2030048C">
        <w:rPr>
          <w:rFonts w:ascii="Arial" w:eastAsia="Arial" w:hAnsi="Arial" w:cs="Arial"/>
          <w:color w:val="000000" w:themeColor="text1" w:themeShade="FF" w:themeTint="FF"/>
          <w:sz w:val="24"/>
          <w:szCs w:val="24"/>
        </w:rPr>
        <w:t>l principles</w:t>
      </w:r>
      <w:r w:rsidRPr="2030048C">
        <w:rPr>
          <w:rFonts w:ascii="Arial" w:eastAsia="Arial" w:hAnsi="Arial" w:cs="Arial"/>
          <w:color w:val="000000" w:themeColor="text1" w:themeShade="FF" w:themeTint="FF"/>
          <w:sz w:val="24"/>
          <w:szCs w:val="24"/>
        </w:rPr>
        <w:t xml:space="preserve"> of biochemistry,</w:t>
      </w:r>
      <w:r w:rsidRPr="2030048C">
        <w:rPr>
          <w:rFonts w:ascii="Arial" w:eastAsia="Arial" w:hAnsi="Arial" w:cs="Arial"/>
          <w:color w:val="000000" w:themeColor="text1" w:themeShade="FF" w:themeTint="FF"/>
          <w:sz w:val="24"/>
          <w:szCs w:val="24"/>
        </w:rPr>
        <w:t xml:space="preserve"> which are considered essential to underpin </w:t>
      </w:r>
      <w:r w:rsidRPr="2030048C">
        <w:rPr>
          <w:rFonts w:ascii="Arial" w:eastAsia="Arial" w:hAnsi="Arial" w:cs="Arial"/>
          <w:color w:val="000000" w:themeColor="text1" w:themeShade="FF" w:themeTint="FF"/>
          <w:sz w:val="24"/>
          <w:szCs w:val="24"/>
        </w:rPr>
        <w:t>level 5 and 6</w:t>
      </w:r>
      <w:r w:rsidRPr="2030048C">
        <w:rPr>
          <w:rFonts w:ascii="Arial" w:eastAsia="Arial" w:hAnsi="Arial" w:cs="Arial"/>
          <w:color w:val="000000" w:themeColor="text1" w:themeShade="FF" w:themeTint="FF"/>
          <w:sz w:val="24"/>
          <w:szCs w:val="24"/>
        </w:rPr>
        <w:t xml:space="preserve"> of the course. </w:t>
      </w:r>
      <w:r w:rsidRPr="2030048C">
        <w:rPr>
          <w:rFonts w:ascii="Arial" w:eastAsia="Arial" w:hAnsi="Arial" w:cs="Arial"/>
          <w:color w:val="000000" w:themeColor="text1" w:themeShade="FF" w:themeTint="FF"/>
          <w:sz w:val="24"/>
          <w:szCs w:val="24"/>
        </w:rPr>
        <w:t>A</w:t>
      </w:r>
      <w:r w:rsidRPr="2030048C">
        <w:rPr>
          <w:rFonts w:ascii="Arial" w:eastAsia="Arial" w:hAnsi="Arial" w:cs="Arial"/>
          <w:color w:val="000000" w:themeColor="text1" w:themeShade="FF" w:themeTint="FF"/>
          <w:sz w:val="24"/>
          <w:szCs w:val="24"/>
        </w:rPr>
        <w:t xml:space="preserve"> Scientific and Laboratory Skills module </w:t>
      </w:r>
      <w:r w:rsidRPr="2030048C">
        <w:rPr>
          <w:rFonts w:ascii="Arial" w:eastAsia="Arial" w:hAnsi="Arial" w:cs="Arial"/>
          <w:color w:val="000000" w:themeColor="text1" w:themeShade="FF" w:themeTint="FF"/>
          <w:sz w:val="24"/>
          <w:szCs w:val="24"/>
        </w:rPr>
        <w:t>equips</w:t>
      </w:r>
      <w:r w:rsidRPr="2030048C">
        <w:rPr>
          <w:rFonts w:ascii="Arial" w:eastAsia="Arial" w:hAnsi="Arial" w:cs="Arial"/>
          <w:color w:val="000000" w:themeColor="text1" w:themeShade="FF" w:themeTint="FF"/>
          <w:sz w:val="24"/>
          <w:szCs w:val="24"/>
        </w:rPr>
        <w:t xml:space="preserve"> students with the basics underlying the practical applica</w:t>
      </w: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 xml:space="preserve">ions of the subject along with </w:t>
      </w:r>
      <w:r w:rsidRPr="2030048C">
        <w:rPr>
          <w:rFonts w:ascii="Arial" w:eastAsia="Arial" w:hAnsi="Arial" w:cs="Arial"/>
          <w:color w:val="000000" w:themeColor="text1" w:themeShade="FF" w:themeTint="FF"/>
          <w:sz w:val="24"/>
          <w:szCs w:val="24"/>
        </w:rPr>
        <w:t>mathematic</w:t>
      </w:r>
      <w:r w:rsidRPr="2030048C">
        <w:rPr>
          <w:rFonts w:ascii="Arial" w:eastAsia="Arial" w:hAnsi="Arial" w:cs="Arial"/>
          <w:color w:val="000000" w:themeColor="text1" w:themeShade="FF" w:themeTint="FF"/>
          <w:sz w:val="24"/>
          <w:szCs w:val="24"/>
        </w:rPr>
        <w:t xml:space="preserve">s, </w:t>
      </w:r>
      <w:r w:rsidRPr="2030048C">
        <w:rPr>
          <w:rFonts w:ascii="Arial" w:eastAsia="Arial" w:hAnsi="Arial" w:cs="Arial"/>
          <w:color w:val="000000" w:themeColor="text1" w:themeShade="FF" w:themeTint="FF"/>
          <w:sz w:val="24"/>
          <w:szCs w:val="24"/>
        </w:rPr>
        <w:t>sta</w:t>
      </w:r>
      <w:r w:rsidRPr="2030048C">
        <w:rPr>
          <w:rFonts w:ascii="Arial" w:eastAsia="Arial" w:hAnsi="Arial" w:cs="Arial"/>
          <w:color w:val="000000" w:themeColor="text1" w:themeShade="FF" w:themeTint="FF"/>
          <w:sz w:val="24"/>
          <w:szCs w:val="24"/>
        </w:rPr>
        <w:t>tistics</w:t>
      </w:r>
      <w:r w:rsidRPr="2030048C">
        <w:rPr>
          <w:rFonts w:ascii="Arial" w:eastAsia="Arial" w:hAnsi="Arial" w:cs="Arial"/>
          <w:color w:val="000000" w:themeColor="text1" w:themeShade="FF" w:themeTint="FF"/>
          <w:sz w:val="24"/>
          <w:szCs w:val="24"/>
        </w:rPr>
        <w:t xml:space="preserve"> and ICT skills.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At level 5</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students study four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core modules that build upon the knowledge gained during </w:t>
      </w:r>
      <w:r w:rsidRPr="2030048C">
        <w:rPr>
          <w:rFonts w:ascii="Arial" w:eastAsia="Arial" w:hAnsi="Arial" w:cs="Arial"/>
          <w:color w:val="000000" w:themeColor="text1" w:themeShade="FF" w:themeTint="FF"/>
          <w:sz w:val="24"/>
          <w:szCs w:val="24"/>
        </w:rPr>
        <w:t>level 4</w:t>
      </w:r>
      <w:r w:rsidRPr="2030048C">
        <w:rPr>
          <w:rFonts w:ascii="Arial" w:eastAsia="Arial" w:hAnsi="Arial" w:cs="Arial"/>
          <w:color w:val="000000" w:themeColor="text1" w:themeShade="FF" w:themeTint="FF"/>
          <w:sz w:val="24"/>
          <w:szCs w:val="24"/>
        </w:rPr>
        <w:t xml:space="preserve"> to further develop their understanding of the molecular basis of biological systems and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biochemical techniques. The mod</w:t>
      </w:r>
      <w:r w:rsidRPr="2030048C">
        <w:rPr>
          <w:rFonts w:ascii="Arial" w:eastAsia="Arial" w:hAnsi="Arial" w:cs="Arial"/>
          <w:color w:val="000000" w:themeColor="text1" w:themeShade="FF" w:themeTint="FF"/>
          <w:sz w:val="24"/>
          <w:szCs w:val="24"/>
        </w:rPr>
        <w:t>ule entitl</w:t>
      </w:r>
      <w:r w:rsidRPr="2030048C">
        <w:rPr>
          <w:rFonts w:ascii="Arial" w:eastAsia="Arial" w:hAnsi="Arial" w:cs="Arial"/>
          <w:color w:val="000000" w:themeColor="text1" w:themeShade="FF" w:themeTint="FF"/>
          <w:sz w:val="24"/>
          <w:szCs w:val="24"/>
        </w:rPr>
        <w:t xml:space="preserve">ed </w:t>
      </w:r>
      <w:r w:rsidRPr="2030048C">
        <w:rPr>
          <w:rFonts w:ascii="Arial" w:eastAsia="Arial" w:hAnsi="Arial" w:cs="Arial"/>
          <w:color w:val="000000" w:themeColor="text1" w:themeShade="FF" w:themeTint="FF"/>
          <w:sz w:val="24"/>
          <w:szCs w:val="24"/>
        </w:rPr>
        <w:t>Research Methods and Skills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 addition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develops </w:t>
      </w:r>
      <w:r w:rsidRPr="2030048C">
        <w:rPr>
          <w:rFonts w:ascii="Arial" w:eastAsia="Arial" w:hAnsi="Arial" w:cs="Arial"/>
          <w:color w:val="000000" w:themeColor="text1" w:themeShade="FF" w:themeTint="FF"/>
          <w:sz w:val="24"/>
          <w:szCs w:val="24"/>
        </w:rPr>
        <w:t>students’ research skills, including communication, critical evaluation and statistical analysis of data.</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Level 6</w:t>
      </w:r>
      <w:r w:rsidRPr="2030048C">
        <w:rPr>
          <w:rFonts w:ascii="Arial" w:eastAsia="Arial" w:hAnsi="Arial" w:cs="Arial"/>
          <w:color w:val="000000" w:themeColor="text1" w:themeShade="FF" w:themeTint="FF"/>
          <w:sz w:val="24"/>
          <w:szCs w:val="24"/>
        </w:rPr>
        <w:t xml:space="preserve"> of the course is comprised </w:t>
      </w:r>
      <w:r w:rsidRPr="2030048C">
        <w:rPr>
          <w:rFonts w:ascii="Arial" w:eastAsia="Arial" w:hAnsi="Arial" w:cs="Arial"/>
          <w:color w:val="000000" w:themeColor="text1" w:themeShade="FF" w:themeTint="FF"/>
          <w:sz w:val="24"/>
          <w:szCs w:val="24"/>
        </w:rPr>
        <w:t>o</w:t>
      </w:r>
      <w:r w:rsidRPr="2030048C">
        <w:rPr>
          <w:rFonts w:ascii="Arial" w:eastAsia="Arial" w:hAnsi="Arial" w:cs="Arial"/>
          <w:color w:val="000000" w:themeColor="text1" w:themeShade="FF" w:themeTint="FF"/>
          <w:sz w:val="24"/>
          <w:szCs w:val="24"/>
        </w:rPr>
        <w:t>f a range of sp</w:t>
      </w:r>
      <w:r w:rsidRPr="2030048C">
        <w:rPr>
          <w:rFonts w:ascii="Arial" w:eastAsia="Arial" w:hAnsi="Arial" w:cs="Arial"/>
          <w:color w:val="000000" w:themeColor="text1" w:themeShade="FF" w:themeTint="FF"/>
          <w:sz w:val="24"/>
          <w:szCs w:val="24"/>
        </w:rPr>
        <w:t>ecialist modules</w:t>
      </w:r>
      <w:r w:rsidRPr="2030048C">
        <w:rPr>
          <w:rFonts w:ascii="Arial" w:eastAsia="Arial" w:hAnsi="Arial" w:cs="Arial"/>
          <w:color w:val="000000" w:themeColor="text1" w:themeShade="FF" w:themeTint="FF"/>
          <w:sz w:val="24"/>
          <w:szCs w:val="24"/>
        </w:rPr>
        <w:t xml:space="preserve"> that allo</w:t>
      </w:r>
      <w:r w:rsidRPr="2030048C">
        <w:rPr>
          <w:rFonts w:ascii="Arial" w:eastAsia="Arial" w:hAnsi="Arial" w:cs="Arial"/>
          <w:color w:val="000000" w:themeColor="text1" w:themeShade="FF" w:themeTint="FF"/>
          <w:sz w:val="24"/>
          <w:szCs w:val="24"/>
        </w:rPr>
        <w:t xml:space="preserve">w </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tud</w:t>
      </w:r>
      <w:r w:rsidRPr="2030048C">
        <w:rPr>
          <w:rFonts w:ascii="Arial" w:eastAsia="Arial" w:hAnsi="Arial" w:cs="Arial"/>
          <w:color w:val="000000" w:themeColor="text1" w:themeShade="FF" w:themeTint="FF"/>
          <w:sz w:val="24"/>
          <w:szCs w:val="24"/>
        </w:rPr>
        <w:t>ent</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to study selected biochemical topics in some depth. </w:t>
      </w:r>
      <w:r w:rsidRPr="2030048C">
        <w:rPr>
          <w:rFonts w:ascii="Arial" w:eastAsia="Arial" w:hAnsi="Arial" w:cs="Arial"/>
          <w:color w:val="000000" w:themeColor="text1" w:themeShade="FF" w:themeTint="FF"/>
          <w:sz w:val="24"/>
          <w:szCs w:val="24"/>
        </w:rPr>
        <w:t xml:space="preserve">Students can </w:t>
      </w:r>
      <w:r w:rsidRPr="2030048C">
        <w:rPr>
          <w:rFonts w:ascii="Arial" w:eastAsia="Arial" w:hAnsi="Arial" w:cs="Arial"/>
          <w:color w:val="000000" w:themeColor="text1" w:themeShade="FF" w:themeTint="FF"/>
          <w:sz w:val="24"/>
          <w:szCs w:val="24"/>
        </w:rPr>
        <w:t xml:space="preserve">also </w:t>
      </w:r>
      <w:r w:rsidRPr="2030048C">
        <w:rPr>
          <w:rFonts w:ascii="Arial" w:eastAsia="Arial" w:hAnsi="Arial" w:cs="Arial"/>
          <w:color w:val="000000" w:themeColor="text1" w:themeShade="FF" w:themeTint="FF"/>
          <w:sz w:val="24"/>
          <w:szCs w:val="24"/>
        </w:rPr>
        <w:t>cho</w:t>
      </w:r>
      <w:r w:rsidRPr="2030048C">
        <w:rPr>
          <w:rFonts w:ascii="Arial" w:eastAsia="Arial" w:hAnsi="Arial" w:cs="Arial"/>
          <w:color w:val="000000" w:themeColor="text1" w:themeShade="FF" w:themeTint="FF"/>
          <w:sz w:val="24"/>
          <w:szCs w:val="24"/>
        </w:rPr>
        <w:t>o</w:t>
      </w:r>
      <w:r w:rsidRPr="2030048C">
        <w:rPr>
          <w:rFonts w:ascii="Arial" w:eastAsia="Arial" w:hAnsi="Arial" w:cs="Arial"/>
          <w:color w:val="000000" w:themeColor="text1" w:themeShade="FF" w:themeTint="FF"/>
          <w:sz w:val="24"/>
          <w:szCs w:val="24"/>
        </w:rPr>
        <w:t>se between three option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modules. </w:t>
      </w:r>
      <w:r w:rsidRPr="2030048C">
        <w:rPr>
          <w:rFonts w:ascii="Arial" w:eastAsia="Arial" w:hAnsi="Arial" w:cs="Arial"/>
          <w:color w:val="000000" w:themeColor="text1" w:themeShade="FF" w:themeTint="FF"/>
          <w:sz w:val="24"/>
          <w:szCs w:val="24"/>
        </w:rPr>
        <w:t>As a core element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at level 6</w:t>
      </w:r>
      <w:r w:rsidRPr="2030048C">
        <w:rPr>
          <w:rFonts w:ascii="Arial" w:eastAsia="Arial" w:hAnsi="Arial" w:cs="Arial"/>
          <w:color w:val="000000" w:themeColor="text1" w:themeShade="FF" w:themeTint="FF"/>
          <w:sz w:val="24"/>
          <w:szCs w:val="24"/>
        </w:rPr>
        <w:t>, students will conduct an original piece of independent research in a</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topic of their c</w:t>
      </w:r>
      <w:r w:rsidRPr="2030048C">
        <w:rPr>
          <w:rFonts w:ascii="Arial" w:eastAsia="Arial" w:hAnsi="Arial" w:cs="Arial"/>
          <w:color w:val="000000" w:themeColor="text1" w:themeShade="FF" w:themeTint="FF"/>
          <w:sz w:val="24"/>
          <w:szCs w:val="24"/>
        </w:rPr>
        <w:t>hoice related t</w:t>
      </w:r>
      <w:r w:rsidRPr="2030048C">
        <w:rPr>
          <w:rFonts w:ascii="Arial" w:eastAsia="Arial" w:hAnsi="Arial" w:cs="Arial"/>
          <w:color w:val="000000" w:themeColor="text1" w:themeShade="FF" w:themeTint="FF"/>
          <w:sz w:val="24"/>
          <w:szCs w:val="24"/>
        </w:rPr>
        <w:t>o biochemi</w:t>
      </w:r>
      <w:r w:rsidRPr="2030048C">
        <w:rPr>
          <w:rFonts w:ascii="Arial" w:eastAsia="Arial" w:hAnsi="Arial" w:cs="Arial"/>
          <w:color w:val="000000" w:themeColor="text1" w:themeShade="FF" w:themeTint="FF"/>
          <w:sz w:val="24"/>
          <w:szCs w:val="24"/>
        </w:rPr>
        <w:t>str</w:t>
      </w:r>
      <w:r w:rsidRPr="2030048C">
        <w:rPr>
          <w:rFonts w:ascii="Arial" w:eastAsia="Arial" w:hAnsi="Arial" w:cs="Arial"/>
          <w:color w:val="000000" w:themeColor="text1" w:themeShade="FF" w:themeTint="FF"/>
          <w:sz w:val="24"/>
          <w:szCs w:val="24"/>
        </w:rPr>
        <w:t xml:space="preserve">y. </w:t>
      </w:r>
      <w:r w:rsidRPr="2030048C">
        <w:rPr>
          <w:rFonts w:ascii="Arial" w:eastAsia="Arial" w:hAnsi="Arial" w:cs="Arial"/>
          <w:color w:val="000000" w:themeColor="text1" w:themeShade="FF" w:themeTint="FF"/>
          <w:sz w:val="24"/>
          <w:szCs w:val="24"/>
        </w:rPr>
        <w:t xml:space="preserve">The biochemistry programme also allows selected modules from the </w:t>
      </w:r>
      <w:r w:rsidRPr="2030048C">
        <w:rPr>
          <w:rFonts w:ascii="Arial" w:eastAsia="Arial" w:hAnsi="Arial" w:cs="Arial"/>
          <w:color w:val="000000" w:themeColor="text1" w:themeShade="FF" w:themeTint="FF"/>
          <w:sz w:val="24"/>
          <w:szCs w:val="24"/>
        </w:rPr>
        <w:t xml:space="preserve">Department of Chemical &amp; Pharmaceutical Sciences </w:t>
      </w:r>
      <w:r w:rsidRPr="2030048C">
        <w:rPr>
          <w:rFonts w:ascii="Arial" w:eastAsia="Arial" w:hAnsi="Arial" w:cs="Arial"/>
          <w:color w:val="000000" w:themeColor="text1" w:themeShade="FF" w:themeTint="FF"/>
          <w:sz w:val="24"/>
          <w:szCs w:val="24"/>
        </w:rPr>
        <w:t>to be chosen that highlight some of the processes utilised in the biochemical and pharmaceutic</w:t>
      </w:r>
      <w:r w:rsidRPr="2030048C">
        <w:rPr>
          <w:rFonts w:ascii="Arial" w:eastAsia="Arial" w:hAnsi="Arial" w:cs="Arial"/>
          <w:color w:val="000000" w:themeColor="text1" w:themeShade="FF" w:themeTint="FF"/>
          <w:sz w:val="24"/>
          <w:szCs w:val="24"/>
        </w:rPr>
        <w:t>a</w:t>
      </w:r>
      <w:r w:rsidRPr="2030048C">
        <w:rPr>
          <w:rFonts w:ascii="Arial" w:eastAsia="Arial" w:hAnsi="Arial" w:cs="Arial"/>
          <w:color w:val="000000" w:themeColor="text1" w:themeShade="FF" w:themeTint="FF"/>
          <w:sz w:val="24"/>
          <w:szCs w:val="24"/>
        </w:rPr>
        <w:t>l industries.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Biochemistry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Biochemistry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Minimum of 36 weeks throughout the year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Biochemistry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Bioinformatics: Decoding Life’s Data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Analytical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CH6007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Chemotherapy of Infectious &amp; Neoplastic Disease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LS5001 and LS5003</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and Blood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Biochemistry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This </w:t>
      </w:r>
      <w:r w:rsidRPr="2030048C">
        <w:rPr>
          <w:rFonts w:ascii="Arial" w:eastAsia="Arial" w:hAnsi="Arial" w:cs="Arial"/>
          <w:sz w:val="24"/>
          <w:szCs w:val="24"/>
        </w:rPr>
        <w:t>programme</w:t>
      </w:r>
      <w:r w:rsidRPr="2030048C">
        <w:rPr>
          <w:rFonts w:ascii="Arial" w:eastAsia="Arial" w:hAnsi="Arial" w:cs="Arial"/>
          <w:sz w:val="24"/>
          <w:szCs w:val="24"/>
        </w:rPr>
        <w:t xml:space="preserve"> </w:t>
      </w:r>
      <w:r w:rsidRPr="2030048C">
        <w:rPr>
          <w:rFonts w:ascii="Arial" w:eastAsia="Arial" w:hAnsi="Arial" w:cs="Arial"/>
          <w:sz w:val="24"/>
          <w:szCs w:val="24"/>
        </w:rPr>
        <w:t>has been designed to take accoun</w:t>
      </w:r>
      <w:r w:rsidRPr="2030048C">
        <w:rPr>
          <w:rFonts w:ascii="Arial" w:eastAsia="Arial" w:hAnsi="Arial" w:cs="Arial"/>
          <w:sz w:val="24"/>
          <w:szCs w:val="24"/>
        </w:rPr>
        <w:t xml:space="preserve">t of the KU Curriculum Design Principles. The course utilises a wide range of teaching and learning methods that will enable all students </w:t>
      </w:r>
      <w:r w:rsidRPr="2030048C">
        <w:rPr>
          <w:rFonts w:ascii="Arial" w:eastAsia="Arial" w:hAnsi="Arial" w:cs="Arial"/>
          <w:sz w:val="24"/>
          <w:szCs w:val="24"/>
        </w:rPr>
        <w:t xml:space="preserve">to </w:t>
      </w:r>
      <w:r w:rsidRPr="2030048C">
        <w:rPr>
          <w:rFonts w:ascii="Arial" w:eastAsia="Arial" w:hAnsi="Arial" w:cs="Arial"/>
          <w:sz w:val="24"/>
          <w:szCs w:val="24"/>
        </w:rPr>
        <w:t>be activel</w:t>
      </w:r>
      <w:r w:rsidRPr="2030048C">
        <w:rPr>
          <w:rFonts w:ascii="Arial" w:eastAsia="Arial" w:hAnsi="Arial" w:cs="Arial"/>
          <w:sz w:val="24"/>
          <w:szCs w:val="24"/>
        </w:rPr>
        <w:t>y engaged throughout the course. Teach</w:t>
      </w:r>
      <w:r w:rsidRPr="2030048C">
        <w:rPr>
          <w:rFonts w:ascii="Arial" w:eastAsia="Arial" w:hAnsi="Arial" w:cs="Arial"/>
          <w:sz w:val="24"/>
          <w:szCs w:val="24"/>
        </w:rPr>
        <w:t>i</w:t>
      </w:r>
      <w:r w:rsidRPr="2030048C">
        <w:rPr>
          <w:rFonts w:ascii="Arial" w:eastAsia="Arial" w:hAnsi="Arial" w:cs="Arial"/>
          <w:sz w:val="24"/>
          <w:szCs w:val="24"/>
        </w:rPr>
        <w:t>ng and learning</w:t>
      </w:r>
      <w:r w:rsidRPr="2030048C">
        <w:rPr>
          <w:rFonts w:ascii="Arial" w:eastAsia="Arial" w:hAnsi="Arial" w:cs="Arial"/>
          <w:sz w:val="24"/>
          <w:szCs w:val="24"/>
        </w:rPr>
        <w:t xml:space="preserve"> me</w:t>
      </w:r>
      <w:r w:rsidRPr="2030048C">
        <w:rPr>
          <w:rFonts w:ascii="Arial" w:eastAsia="Arial" w:hAnsi="Arial" w:cs="Arial"/>
          <w:sz w:val="24"/>
          <w:szCs w:val="24"/>
        </w:rPr>
        <w:t>tho</w:t>
      </w:r>
      <w:r w:rsidRPr="2030048C">
        <w:rPr>
          <w:rFonts w:ascii="Arial" w:eastAsia="Arial" w:hAnsi="Arial" w:cs="Arial"/>
          <w:sz w:val="24"/>
          <w:szCs w:val="24"/>
        </w:rPr>
        <w:t xml:space="preserve">ds are carefully crafted to suit the content </w:t>
      </w:r>
      <w:r w:rsidRPr="2030048C">
        <w:rPr>
          <w:rFonts w:ascii="Arial" w:eastAsia="Arial" w:hAnsi="Arial" w:cs="Arial"/>
          <w:sz w:val="24"/>
          <w:szCs w:val="24"/>
        </w:rPr>
        <w:t xml:space="preserve">and the learning outcomes of </w:t>
      </w:r>
      <w:r w:rsidRPr="2030048C">
        <w:rPr>
          <w:rFonts w:ascii="Arial" w:eastAsia="Arial" w:hAnsi="Arial" w:cs="Arial"/>
          <w:sz w:val="24"/>
          <w:szCs w:val="24"/>
        </w:rPr>
        <w:t>each</w:t>
      </w:r>
      <w:r w:rsidRPr="2030048C">
        <w:rPr>
          <w:rFonts w:ascii="Arial" w:eastAsia="Arial" w:hAnsi="Arial" w:cs="Arial"/>
          <w:sz w:val="24"/>
          <w:szCs w:val="24"/>
        </w:rPr>
        <w:t xml:space="preserve"> module</w:t>
      </w:r>
      <w:r w:rsidRPr="2030048C">
        <w:rPr>
          <w:rFonts w:ascii="Arial" w:eastAsia="Arial" w:hAnsi="Arial" w:cs="Arial"/>
          <w:sz w:val="24"/>
          <w:szCs w:val="24"/>
        </w:rPr>
        <w:t>. Most</w:t>
      </w:r>
      <w:r w:rsidRPr="2030048C">
        <w:rPr>
          <w:rFonts w:ascii="Arial" w:eastAsia="Arial" w:hAnsi="Arial" w:cs="Arial"/>
          <w:sz w:val="24"/>
          <w:szCs w:val="24"/>
        </w:rPr>
        <w:t xml:space="preserve"> </w:t>
      </w:r>
      <w:r w:rsidRPr="2030048C">
        <w:rPr>
          <w:rFonts w:ascii="Arial" w:eastAsia="Arial" w:hAnsi="Arial" w:cs="Arial"/>
          <w:sz w:val="24"/>
          <w:szCs w:val="24"/>
        </w:rPr>
        <w:t>modules</w:t>
      </w:r>
      <w:r w:rsidRPr="2030048C">
        <w:rPr>
          <w:rFonts w:ascii="Arial" w:eastAsia="Arial" w:hAnsi="Arial" w:cs="Arial"/>
          <w:sz w:val="24"/>
          <w:szCs w:val="24"/>
        </w:rPr>
        <w:t xml:space="preserve"> </w:t>
      </w:r>
      <w:r w:rsidRPr="2030048C">
        <w:rPr>
          <w:rFonts w:ascii="Arial" w:eastAsia="Arial" w:hAnsi="Arial" w:cs="Arial"/>
          <w:sz w:val="24"/>
          <w:szCs w:val="24"/>
        </w:rPr>
        <w:t>typically us</w:t>
      </w:r>
      <w:r w:rsidRPr="2030048C">
        <w:rPr>
          <w:rFonts w:ascii="Arial" w:eastAsia="Arial" w:hAnsi="Arial" w:cs="Arial"/>
          <w:sz w:val="24"/>
          <w:szCs w:val="24"/>
        </w:rPr>
        <w:t>e</w:t>
      </w:r>
      <w:r w:rsidRPr="2030048C">
        <w:rPr>
          <w:rFonts w:ascii="Arial" w:eastAsia="Arial" w:hAnsi="Arial" w:cs="Arial"/>
          <w:sz w:val="24"/>
          <w:szCs w:val="24"/>
        </w:rPr>
        <w:t xml:space="preserve"> lectures in the early parts to ensure that students have the key kn</w:t>
      </w:r>
      <w:r w:rsidRPr="2030048C">
        <w:rPr>
          <w:rFonts w:ascii="Arial" w:eastAsia="Arial" w:hAnsi="Arial" w:cs="Arial"/>
          <w:sz w:val="24"/>
          <w:szCs w:val="24"/>
        </w:rPr>
        <w:t>owledge relatin</w:t>
      </w:r>
      <w:r w:rsidRPr="2030048C">
        <w:rPr>
          <w:rFonts w:ascii="Arial" w:eastAsia="Arial" w:hAnsi="Arial" w:cs="Arial"/>
          <w:sz w:val="24"/>
          <w:szCs w:val="24"/>
        </w:rPr>
        <w:t xml:space="preserve">g to the module. </w:t>
      </w:r>
      <w:r w:rsidRPr="2030048C">
        <w:rPr>
          <w:rFonts w:ascii="Arial" w:eastAsia="Arial" w:hAnsi="Arial" w:cs="Arial"/>
          <w:sz w:val="24"/>
          <w:szCs w:val="24"/>
        </w:rPr>
        <w:t xml:space="preserve">Through a variety of </w:t>
      </w:r>
      <w:r w:rsidRPr="2030048C">
        <w:rPr>
          <w:rFonts w:ascii="Arial" w:eastAsia="Arial" w:hAnsi="Arial" w:cs="Arial"/>
          <w:sz w:val="24"/>
          <w:szCs w:val="24"/>
        </w:rPr>
        <w:t>g</w:t>
      </w:r>
      <w:r w:rsidRPr="2030048C">
        <w:rPr>
          <w:rFonts w:ascii="Arial" w:eastAsia="Arial" w:hAnsi="Arial" w:cs="Arial"/>
          <w:sz w:val="24"/>
          <w:szCs w:val="24"/>
        </w:rPr>
        <w:t>roup and semina</w:t>
      </w:r>
      <w:r w:rsidRPr="2030048C">
        <w:rPr>
          <w:rFonts w:ascii="Arial" w:eastAsia="Arial" w:hAnsi="Arial" w:cs="Arial"/>
          <w:sz w:val="24"/>
          <w:szCs w:val="24"/>
        </w:rPr>
        <w:t>r w</w:t>
      </w:r>
      <w:r w:rsidRPr="2030048C">
        <w:rPr>
          <w:rFonts w:ascii="Arial" w:eastAsia="Arial" w:hAnsi="Arial" w:cs="Arial"/>
          <w:sz w:val="24"/>
          <w:szCs w:val="24"/>
        </w:rPr>
        <w:t>ork</w:t>
      </w:r>
      <w:r w:rsidRPr="2030048C">
        <w:rPr>
          <w:rFonts w:ascii="Arial" w:eastAsia="Arial" w:hAnsi="Arial" w:cs="Arial"/>
          <w:sz w:val="24"/>
          <w:szCs w:val="24"/>
        </w:rPr>
        <w:t>, practical and laboratory sessions</w:t>
      </w:r>
      <w:r w:rsidRPr="2030048C">
        <w:rPr>
          <w:rFonts w:ascii="Arial" w:eastAsia="Arial" w:hAnsi="Arial" w:cs="Arial"/>
          <w:sz w:val="24"/>
          <w:szCs w:val="24"/>
        </w:rPr>
        <w:t>,</w:t>
      </w:r>
      <w:r w:rsidRPr="2030048C">
        <w:rPr>
          <w:rFonts w:ascii="Arial" w:eastAsia="Arial" w:hAnsi="Arial" w:cs="Arial"/>
          <w:sz w:val="24"/>
          <w:szCs w:val="24"/>
        </w:rPr>
        <w:t xml:space="preserve"> students</w:t>
      </w:r>
      <w:r w:rsidRPr="2030048C">
        <w:rPr>
          <w:rFonts w:ascii="Arial" w:eastAsia="Arial" w:hAnsi="Arial" w:cs="Arial"/>
          <w:sz w:val="24"/>
          <w:szCs w:val="24"/>
        </w:rPr>
        <w:t xml:space="preserve"> are then given the opportunity to develop more individual interests a</w:t>
      </w:r>
      <w:r w:rsidRPr="2030048C">
        <w:rPr>
          <w:rFonts w:ascii="Arial" w:eastAsia="Arial" w:hAnsi="Arial" w:cs="Arial"/>
          <w:sz w:val="24"/>
          <w:szCs w:val="24"/>
        </w:rPr>
        <w:t>long with</w:t>
      </w:r>
      <w:r w:rsidRPr="2030048C">
        <w:rPr>
          <w:rFonts w:ascii="Arial" w:eastAsia="Arial" w:hAnsi="Arial" w:cs="Arial"/>
          <w:sz w:val="24"/>
          <w:szCs w:val="24"/>
        </w:rPr>
        <w:t xml:space="preserve"> personal and key skills.</w:t>
      </w:r>
      <w:r w:rsidRPr="2030048C">
        <w:rPr>
          <w:rFonts w:ascii="Arial" w:eastAsia="Arial" w:hAnsi="Arial" w:cs="Arial"/>
          <w:sz w:val="24"/>
          <w:szCs w:val="24"/>
        </w:rPr>
        <w:t xml:space="preserve"> </w:t>
      </w:r>
      <w:r w:rsidRPr="2030048C">
        <w:rPr>
          <w:rFonts w:ascii="Arial" w:eastAsia="Arial" w:hAnsi="Arial" w:cs="Arial"/>
          <w:sz w:val="24"/>
          <w:szCs w:val="24"/>
        </w:rPr>
        <w:t>The content of modules is designed to recognis</w:t>
      </w:r>
      <w:r w:rsidRPr="2030048C">
        <w:rPr>
          <w:rFonts w:ascii="Arial" w:eastAsia="Arial" w:hAnsi="Arial" w:cs="Arial"/>
          <w:sz w:val="24"/>
          <w:szCs w:val="24"/>
        </w:rPr>
        <w:t>e the expected variation in student kn</w:t>
      </w:r>
      <w:r w:rsidRPr="2030048C">
        <w:rPr>
          <w:rFonts w:ascii="Arial" w:eastAsia="Arial" w:hAnsi="Arial" w:cs="Arial"/>
          <w:sz w:val="24"/>
          <w:szCs w:val="24"/>
        </w:rPr>
        <w:t>o</w:t>
      </w:r>
      <w:r w:rsidRPr="2030048C">
        <w:rPr>
          <w:rFonts w:ascii="Arial" w:eastAsia="Arial" w:hAnsi="Arial" w:cs="Arial"/>
          <w:sz w:val="24"/>
          <w:szCs w:val="24"/>
        </w:rPr>
        <w:t xml:space="preserve">wledge base, </w:t>
      </w:r>
      <w:r w:rsidRPr="2030048C">
        <w:rPr>
          <w:rFonts w:ascii="Arial" w:eastAsia="Arial" w:hAnsi="Arial" w:cs="Arial"/>
          <w:sz w:val="24"/>
          <w:szCs w:val="24"/>
        </w:rPr>
        <w:t>al</w:t>
      </w:r>
      <w:r w:rsidRPr="2030048C">
        <w:rPr>
          <w:rFonts w:ascii="Arial" w:eastAsia="Arial" w:hAnsi="Arial" w:cs="Arial"/>
          <w:sz w:val="24"/>
          <w:szCs w:val="24"/>
        </w:rPr>
        <w:t>ong</w:t>
      </w:r>
      <w:r w:rsidRPr="2030048C">
        <w:rPr>
          <w:rFonts w:ascii="Arial" w:eastAsia="Arial" w:hAnsi="Arial" w:cs="Arial"/>
          <w:sz w:val="24"/>
          <w:szCs w:val="24"/>
        </w:rPr>
        <w:t xml:space="preserve"> wi</w:t>
      </w:r>
      <w:r w:rsidRPr="2030048C">
        <w:rPr>
          <w:rFonts w:ascii="Arial" w:eastAsia="Arial" w:hAnsi="Arial" w:cs="Arial"/>
          <w:sz w:val="24"/>
          <w:szCs w:val="24"/>
        </w:rPr>
        <w:t xml:space="preserve">th </w:t>
      </w:r>
      <w:r w:rsidRPr="2030048C">
        <w:rPr>
          <w:rFonts w:ascii="Arial" w:eastAsia="Arial" w:hAnsi="Arial" w:cs="Arial"/>
          <w:sz w:val="24"/>
          <w:szCs w:val="24"/>
        </w:rPr>
        <w:t>key and transferable skill competencies.</w:t>
      </w:r>
      <w:r w:rsidRPr="2030048C">
        <w:rPr>
          <w:rFonts w:ascii="Arial" w:eastAsia="Arial" w:hAnsi="Arial" w:cs="Arial"/>
          <w:sz w:val="24"/>
          <w:szCs w:val="24"/>
        </w:rPr>
        <w:t xml:space="preserve"> </w:t>
      </w:r>
      <w:r w:rsidRPr="2030048C">
        <w:rPr>
          <w:rFonts w:ascii="Arial" w:eastAsia="Arial" w:hAnsi="Arial" w:cs="Arial"/>
          <w:sz w:val="24"/>
          <w:szCs w:val="24"/>
        </w:rPr>
        <w:t>O</w:t>
      </w:r>
      <w:r w:rsidRPr="2030048C">
        <w:rPr>
          <w:rFonts w:ascii="Arial" w:eastAsia="Arial" w:hAnsi="Arial" w:cs="Arial"/>
          <w:sz w:val="24"/>
          <w:szCs w:val="24"/>
        </w:rPr>
        <w:t>verall emphasis is placed on developing academi</w:t>
      </w:r>
      <w:r w:rsidRPr="2030048C">
        <w:rPr>
          <w:rFonts w:ascii="Arial" w:eastAsia="Arial" w:hAnsi="Arial" w:cs="Arial"/>
          <w:sz w:val="24"/>
          <w:szCs w:val="24"/>
        </w:rPr>
        <w:t>c skills and utilising research-</w:t>
      </w:r>
      <w:r w:rsidRPr="2030048C">
        <w:rPr>
          <w:rFonts w:ascii="Arial" w:eastAsia="Arial" w:hAnsi="Arial" w:cs="Arial"/>
          <w:sz w:val="24"/>
          <w:szCs w:val="24"/>
        </w:rPr>
        <w:t>informed teaching strategies</w:t>
      </w:r>
      <w:r w:rsidRPr="2030048C">
        <w:rPr>
          <w:rFonts w:ascii="Arial" w:eastAsia="Arial" w:hAnsi="Arial" w:cs="Arial"/>
          <w:sz w:val="24"/>
          <w:szCs w:val="24"/>
        </w:rPr>
        <w:t xml:space="preserve"> that best suites practice</w:t>
      </w:r>
      <w:r w:rsidRPr="2030048C">
        <w:rPr>
          <w:rFonts w:ascii="Arial" w:eastAsia="Arial" w:hAnsi="Arial" w:cs="Arial"/>
          <w:sz w:val="24"/>
          <w:szCs w:val="24"/>
        </w:rPr>
        <w:t>.</w:t>
      </w:r>
    </w:p>
    <w:p w:rsidRPr="2030048C" w:rsidP="2030048C">
      <w:pPr>
        <w:pStyle w:val="Default"/>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 range of asse</w:t>
      </w:r>
      <w:r w:rsidRPr="2030048C">
        <w:rPr>
          <w:rFonts w:ascii="Arial" w:eastAsia="Arial" w:hAnsi="Arial" w:cs="Arial"/>
          <w:sz w:val="24"/>
          <w:szCs w:val="24"/>
        </w:rPr>
        <w:t>ssment methods will be used that enabl</w:t>
      </w:r>
      <w:r w:rsidRPr="2030048C">
        <w:rPr>
          <w:rFonts w:ascii="Arial" w:eastAsia="Arial" w:hAnsi="Arial" w:cs="Arial"/>
          <w:sz w:val="24"/>
          <w:szCs w:val="24"/>
        </w:rPr>
        <w:t>e</w:t>
      </w:r>
      <w:r w:rsidRPr="2030048C">
        <w:rPr>
          <w:rFonts w:ascii="Arial" w:eastAsia="Arial" w:hAnsi="Arial" w:cs="Arial"/>
          <w:sz w:val="24"/>
          <w:szCs w:val="24"/>
        </w:rPr>
        <w:t xml:space="preserve"> students to de</w:t>
      </w:r>
      <w:r w:rsidRPr="2030048C">
        <w:rPr>
          <w:rFonts w:ascii="Arial" w:eastAsia="Arial" w:hAnsi="Arial" w:cs="Arial"/>
          <w:sz w:val="24"/>
          <w:szCs w:val="24"/>
        </w:rPr>
        <w:t>mon</w:t>
      </w:r>
      <w:r w:rsidRPr="2030048C">
        <w:rPr>
          <w:rFonts w:ascii="Arial" w:eastAsia="Arial" w:hAnsi="Arial" w:cs="Arial"/>
          <w:sz w:val="24"/>
          <w:szCs w:val="24"/>
        </w:rPr>
        <w:t>str</w:t>
      </w:r>
      <w:r w:rsidRPr="2030048C">
        <w:rPr>
          <w:rFonts w:ascii="Arial" w:eastAsia="Arial" w:hAnsi="Arial" w:cs="Arial"/>
          <w:sz w:val="24"/>
          <w:szCs w:val="24"/>
        </w:rPr>
        <w:t>ate the acquisition of knowledge and</w:t>
      </w:r>
      <w:r w:rsidRPr="2030048C">
        <w:rPr>
          <w:rFonts w:ascii="Arial" w:eastAsia="Arial" w:hAnsi="Arial" w:cs="Arial"/>
          <w:sz w:val="24"/>
          <w:szCs w:val="24"/>
        </w:rPr>
        <w:t xml:space="preserve"> skills. </w:t>
      </w:r>
      <w:r w:rsidRPr="2030048C">
        <w:rPr>
          <w:rFonts w:ascii="Arial" w:eastAsia="Arial" w:hAnsi="Arial" w:cs="Arial"/>
          <w:sz w:val="24"/>
          <w:szCs w:val="24"/>
        </w:rPr>
        <w:t>Methods include course</w:t>
      </w:r>
      <w:r w:rsidRPr="2030048C">
        <w:rPr>
          <w:rFonts w:ascii="Arial" w:eastAsia="Arial" w:hAnsi="Arial" w:cs="Arial"/>
          <w:sz w:val="24"/>
          <w:szCs w:val="24"/>
        </w:rPr>
        <w:t xml:space="preserve">work, oral presentations, in-class tests, MCQs, examinations, laboratory reports and poster presentations. The assessment regime </w:t>
      </w:r>
      <w:r w:rsidRPr="2030048C">
        <w:rPr>
          <w:rFonts w:ascii="Arial" w:eastAsia="Arial" w:hAnsi="Arial" w:cs="Arial"/>
          <w:sz w:val="24"/>
          <w:szCs w:val="24"/>
        </w:rPr>
        <w:t>for each module has been designed to p</w:t>
      </w:r>
      <w:r w:rsidRPr="2030048C">
        <w:rPr>
          <w:rFonts w:ascii="Arial" w:eastAsia="Arial" w:hAnsi="Arial" w:cs="Arial"/>
          <w:sz w:val="24"/>
          <w:szCs w:val="24"/>
        </w:rPr>
        <w:t>r</w:t>
      </w:r>
      <w:r w:rsidRPr="2030048C">
        <w:rPr>
          <w:rFonts w:ascii="Arial" w:eastAsia="Arial" w:hAnsi="Arial" w:cs="Arial"/>
          <w:sz w:val="24"/>
          <w:szCs w:val="24"/>
        </w:rPr>
        <w:t>ovide formative</w:t>
      </w:r>
      <w:r w:rsidRPr="2030048C">
        <w:rPr>
          <w:rFonts w:ascii="Arial" w:eastAsia="Arial" w:hAnsi="Arial" w:cs="Arial"/>
          <w:sz w:val="24"/>
          <w:szCs w:val="24"/>
        </w:rPr>
        <w:t xml:space="preserve"> op</w:t>
      </w:r>
      <w:r w:rsidRPr="2030048C">
        <w:rPr>
          <w:rFonts w:ascii="Arial" w:eastAsia="Arial" w:hAnsi="Arial" w:cs="Arial"/>
          <w:sz w:val="24"/>
          <w:szCs w:val="24"/>
        </w:rPr>
        <w:t>por</w:t>
      </w:r>
      <w:r w:rsidRPr="2030048C">
        <w:rPr>
          <w:rFonts w:ascii="Arial" w:eastAsia="Arial" w:hAnsi="Arial" w:cs="Arial"/>
          <w:sz w:val="24"/>
          <w:szCs w:val="24"/>
        </w:rPr>
        <w:t xml:space="preserve">tunities that allow students to practice and </w:t>
      </w:r>
      <w:r w:rsidRPr="2030048C">
        <w:rPr>
          <w:rFonts w:ascii="Arial" w:eastAsia="Arial" w:hAnsi="Arial" w:cs="Arial"/>
          <w:sz w:val="24"/>
          <w:szCs w:val="24"/>
        </w:rPr>
        <w:t>to receive feed forward on their performance in preparation for the summative assessment. Care has been taken to avoid assessment bunching. There are o</w:t>
      </w:r>
      <w:r w:rsidRPr="2030048C">
        <w:rPr>
          <w:rFonts w:ascii="Arial" w:eastAsia="Arial" w:hAnsi="Arial" w:cs="Arial"/>
          <w:sz w:val="24"/>
          <w:szCs w:val="24"/>
        </w:rPr>
        <w:t>pportunities</w:t>
      </w:r>
      <w:r w:rsidRPr="2030048C">
        <w:rPr>
          <w:rFonts w:ascii="Arial" w:eastAsia="Arial" w:hAnsi="Arial" w:cs="Arial"/>
          <w:sz w:val="24"/>
          <w:szCs w:val="24"/>
        </w:rPr>
        <w:t xml:space="preserve"> for synoptic assessment a</w:t>
      </w:r>
      <w:r w:rsidRPr="2030048C">
        <w:rPr>
          <w:rFonts w:ascii="Arial" w:eastAsia="Arial" w:hAnsi="Arial" w:cs="Arial"/>
          <w:sz w:val="24"/>
          <w:szCs w:val="24"/>
        </w:rPr>
        <w:t>t</w:t>
      </w:r>
      <w:r w:rsidRPr="2030048C">
        <w:rPr>
          <w:rFonts w:ascii="Arial" w:eastAsia="Arial" w:hAnsi="Arial" w:cs="Arial"/>
          <w:sz w:val="24"/>
          <w:szCs w:val="24"/>
        </w:rPr>
        <w:t xml:space="preserve"> level 6</w:t>
      </w:r>
      <w:r w:rsidRPr="2030048C">
        <w:rPr>
          <w:rFonts w:ascii="Arial" w:eastAsia="Arial" w:hAnsi="Arial" w:cs="Arial"/>
          <w:sz w:val="24"/>
          <w:szCs w:val="24"/>
        </w:rPr>
        <w:t>,</w:t>
      </w:r>
      <w:r w:rsidRPr="2030048C">
        <w:rPr>
          <w:rFonts w:ascii="Arial" w:eastAsia="Arial" w:hAnsi="Arial" w:cs="Arial"/>
          <w:sz w:val="24"/>
          <w:szCs w:val="24"/>
        </w:rPr>
        <w:t xml:space="preserve"> which</w:t>
      </w:r>
      <w:r w:rsidRPr="2030048C">
        <w:rPr>
          <w:rFonts w:ascii="Arial" w:eastAsia="Arial" w:hAnsi="Arial" w:cs="Arial"/>
          <w:sz w:val="24"/>
          <w:szCs w:val="24"/>
        </w:rPr>
        <w:t xml:space="preserve"> al</w:t>
      </w:r>
      <w:r w:rsidRPr="2030048C">
        <w:rPr>
          <w:rFonts w:ascii="Arial" w:eastAsia="Arial" w:hAnsi="Arial" w:cs="Arial"/>
          <w:sz w:val="24"/>
          <w:szCs w:val="24"/>
        </w:rPr>
        <w:t>low</w:t>
      </w:r>
      <w:r w:rsidRPr="2030048C">
        <w:rPr>
          <w:rFonts w:ascii="Arial" w:eastAsia="Arial" w:hAnsi="Arial" w:cs="Arial"/>
          <w:sz w:val="24"/>
          <w:szCs w:val="24"/>
        </w:rPr>
        <w:t xml:space="preserve">s students </w:t>
      </w:r>
      <w:r w:rsidRPr="2030048C">
        <w:rPr>
          <w:rFonts w:ascii="Arial" w:eastAsia="Arial" w:hAnsi="Arial" w:cs="Arial"/>
          <w:sz w:val="24"/>
          <w:szCs w:val="24"/>
        </w:rPr>
        <w:t>to demonstrate achievement of a ra</w:t>
      </w:r>
      <w:r w:rsidRPr="2030048C">
        <w:rPr>
          <w:rFonts w:ascii="Arial" w:eastAsia="Arial" w:hAnsi="Arial" w:cs="Arial"/>
          <w:sz w:val="24"/>
          <w:szCs w:val="24"/>
        </w:rPr>
        <w:t>nge of learning outcomes from across a number of modules</w:t>
      </w:r>
      <w:r w:rsidRPr="2030048C">
        <w:rPr>
          <w:rFonts w:ascii="Arial" w:eastAsia="Arial" w:hAnsi="Arial" w:cs="Arial"/>
          <w:sz w:val="24"/>
          <w:szCs w:val="24"/>
        </w:rPr>
        <w:t>. S</w:t>
      </w:r>
      <w:r w:rsidRPr="2030048C">
        <w:rPr>
          <w:rFonts w:ascii="Arial" w:eastAsia="Arial" w:hAnsi="Arial" w:cs="Arial"/>
          <w:sz w:val="24"/>
          <w:szCs w:val="24"/>
        </w:rPr>
        <w:t xml:space="preserve">tudents are supported in this by their allocated personal tutor, who will help them to draw </w:t>
      </w:r>
      <w:r w:rsidRPr="2030048C">
        <w:rPr>
          <w:rFonts w:ascii="Arial" w:eastAsia="Arial" w:hAnsi="Arial" w:cs="Arial"/>
          <w:sz w:val="24"/>
          <w:szCs w:val="24"/>
        </w:rPr>
        <w:t>together the themes of the curriculum.</w:t>
      </w:r>
      <w:r w:rsidRPr="2030048C">
        <w:rPr>
          <w:rFonts w:ascii="Arial" w:eastAsia="Arial" w:hAnsi="Arial" w:cs="Arial"/>
          <w:sz w:val="24"/>
          <w:szCs w:val="24"/>
        </w:rPr>
        <w:t xml:space="preserve"> </w:t>
      </w:r>
      <w:r w:rsidRPr="2030048C">
        <w:rPr>
          <w:rFonts w:ascii="Arial" w:eastAsia="Arial" w:hAnsi="Arial" w:cs="Arial"/>
          <w:sz w:val="24"/>
          <w:szCs w:val="24"/>
        </w:rPr>
        <w:t xml:space="preserve">All </w:t>
      </w:r>
      <w:r w:rsidRPr="2030048C">
        <w:rPr>
          <w:rFonts w:ascii="Arial" w:eastAsia="Arial" w:hAnsi="Arial" w:cs="Arial"/>
          <w:sz w:val="24"/>
          <w:szCs w:val="24"/>
        </w:rPr>
        <w:t>level 6</w:t>
      </w:r>
      <w:r w:rsidRPr="2030048C">
        <w:rPr>
          <w:rFonts w:ascii="Arial" w:eastAsia="Arial" w:hAnsi="Arial" w:cs="Arial"/>
          <w:sz w:val="24"/>
          <w:szCs w:val="24"/>
        </w:rPr>
        <w:t xml:space="preserve"> stu</w:t>
      </w:r>
      <w:r w:rsidRPr="2030048C">
        <w:rPr>
          <w:rFonts w:ascii="Arial" w:eastAsia="Arial" w:hAnsi="Arial" w:cs="Arial"/>
          <w:sz w:val="24"/>
          <w:szCs w:val="24"/>
        </w:rPr>
        <w:t>den</w:t>
      </w:r>
      <w:r w:rsidRPr="2030048C">
        <w:rPr>
          <w:rFonts w:ascii="Arial" w:eastAsia="Arial" w:hAnsi="Arial" w:cs="Arial"/>
          <w:sz w:val="24"/>
          <w:szCs w:val="24"/>
        </w:rPr>
        <w:t xml:space="preserve">ts </w:t>
      </w:r>
      <w:r w:rsidRPr="2030048C">
        <w:rPr>
          <w:rFonts w:ascii="Arial" w:eastAsia="Arial" w:hAnsi="Arial" w:cs="Arial"/>
          <w:sz w:val="24"/>
          <w:szCs w:val="24"/>
        </w:rPr>
        <w:t>are required t</w:t>
      </w:r>
      <w:r w:rsidRPr="2030048C">
        <w:rPr>
          <w:rFonts w:ascii="Arial" w:eastAsia="Arial" w:hAnsi="Arial" w:cs="Arial"/>
          <w:sz w:val="24"/>
          <w:szCs w:val="24"/>
        </w:rPr>
        <w:t>o complete a ‘capstone’ project</w:t>
      </w:r>
      <w:r w:rsidRPr="2030048C">
        <w:rPr>
          <w:rFonts w:ascii="Arial" w:eastAsia="Arial" w:hAnsi="Arial" w:cs="Arial"/>
          <w:sz w:val="24"/>
          <w:szCs w:val="24"/>
        </w:rPr>
        <w:t xml:space="preserve">, </w:t>
      </w:r>
      <w:r w:rsidRPr="2030048C">
        <w:rPr>
          <w:rFonts w:ascii="Arial" w:eastAsia="Arial" w:hAnsi="Arial" w:cs="Arial"/>
          <w:sz w:val="24"/>
          <w:szCs w:val="24"/>
        </w:rPr>
        <w:t>which allows them to demonstrate and apply the knowledge and skills that they have acquired throughout the course. The topic of the project will be n</w:t>
      </w:r>
      <w:r w:rsidRPr="2030048C">
        <w:rPr>
          <w:rFonts w:ascii="Arial" w:eastAsia="Arial" w:hAnsi="Arial" w:cs="Arial"/>
          <w:sz w:val="24"/>
          <w:szCs w:val="24"/>
        </w:rPr>
        <w:t>egotiated with the Project Tutor in di</w:t>
      </w:r>
      <w:r w:rsidRPr="2030048C">
        <w:rPr>
          <w:rFonts w:ascii="Arial" w:eastAsia="Arial" w:hAnsi="Arial" w:cs="Arial"/>
          <w:sz w:val="24"/>
          <w:szCs w:val="24"/>
        </w:rPr>
        <w:t>a</w:t>
      </w:r>
      <w:r w:rsidRPr="2030048C">
        <w:rPr>
          <w:rFonts w:ascii="Arial" w:eastAsia="Arial" w:hAnsi="Arial" w:cs="Arial"/>
          <w:sz w:val="24"/>
          <w:szCs w:val="24"/>
        </w:rPr>
        <w:t xml:space="preserve">logue with the </w:t>
      </w:r>
      <w:r w:rsidRPr="2030048C">
        <w:rPr>
          <w:rFonts w:ascii="Arial" w:eastAsia="Arial" w:hAnsi="Arial" w:cs="Arial"/>
          <w:sz w:val="24"/>
          <w:szCs w:val="24"/>
        </w:rPr>
        <w:t>pro</w:t>
      </w:r>
      <w:r w:rsidRPr="2030048C">
        <w:rPr>
          <w:rFonts w:ascii="Arial" w:eastAsia="Arial" w:hAnsi="Arial" w:cs="Arial"/>
          <w:sz w:val="24"/>
          <w:szCs w:val="24"/>
        </w:rPr>
        <w:t>jec</w:t>
      </w:r>
      <w:r w:rsidRPr="2030048C">
        <w:rPr>
          <w:rFonts w:ascii="Arial" w:eastAsia="Arial" w:hAnsi="Arial" w:cs="Arial"/>
          <w:sz w:val="24"/>
          <w:szCs w:val="24"/>
        </w:rPr>
        <w:t>t supervisor</w:t>
      </w:r>
      <w:r w:rsidRPr="2030048C">
        <w:rPr>
          <w:rFonts w:ascii="Arial" w:eastAsia="Arial" w:hAnsi="Arial" w:cs="Arial"/>
          <w:sz w:val="24"/>
          <w:szCs w:val="24"/>
        </w:rPr>
        <w:t>. The capstone project also allow</w:t>
      </w:r>
      <w:r w:rsidRPr="2030048C">
        <w:rPr>
          <w:rFonts w:ascii="Arial" w:eastAsia="Arial" w:hAnsi="Arial" w:cs="Arial"/>
          <w:sz w:val="24"/>
          <w:szCs w:val="24"/>
        </w:rPr>
        <w:t>s students to develop and hone their research skills and provide them with the foundations for further study if they wish to pursue it.</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The developm</w:t>
      </w:r>
      <w:r w:rsidRPr="2030048C">
        <w:rPr>
          <w:rFonts w:ascii="Arial" w:eastAsia="Arial" w:hAnsi="Arial" w:cs="Arial"/>
          <w:sz w:val="24"/>
          <w:szCs w:val="24"/>
        </w:rPr>
        <w:t>ent of academic/graduate skills is threaded thr</w:t>
      </w:r>
      <w:r w:rsidRPr="2030048C">
        <w:rPr>
          <w:rFonts w:ascii="Arial" w:eastAsia="Arial" w:hAnsi="Arial" w:cs="Arial"/>
          <w:sz w:val="24"/>
          <w:szCs w:val="24"/>
        </w:rPr>
        <w:t>o</w:t>
      </w:r>
      <w:r w:rsidRPr="2030048C">
        <w:rPr>
          <w:rFonts w:ascii="Arial" w:eastAsia="Arial" w:hAnsi="Arial" w:cs="Arial"/>
          <w:sz w:val="24"/>
          <w:szCs w:val="24"/>
        </w:rPr>
        <w:t>ughout the cour</w:t>
      </w:r>
      <w:r w:rsidRPr="2030048C">
        <w:rPr>
          <w:rFonts w:ascii="Arial" w:eastAsia="Arial" w:hAnsi="Arial" w:cs="Arial"/>
          <w:sz w:val="24"/>
          <w:szCs w:val="24"/>
        </w:rPr>
        <w:t xml:space="preserve">se </w:t>
      </w:r>
      <w:r w:rsidRPr="2030048C">
        <w:rPr>
          <w:rFonts w:ascii="Arial" w:eastAsia="Arial" w:hAnsi="Arial" w:cs="Arial"/>
          <w:sz w:val="24"/>
          <w:szCs w:val="24"/>
        </w:rPr>
        <w:t>and</w:t>
      </w:r>
      <w:r w:rsidRPr="2030048C">
        <w:rPr>
          <w:rFonts w:ascii="Arial" w:eastAsia="Arial" w:hAnsi="Arial" w:cs="Arial"/>
          <w:sz w:val="24"/>
          <w:szCs w:val="24"/>
        </w:rPr>
        <w:t xml:space="preserve"> assessed both formatively and summatively. D</w:t>
      </w:r>
      <w:r w:rsidRPr="2030048C">
        <w:rPr>
          <w:rFonts w:ascii="Arial" w:eastAsia="Arial" w:hAnsi="Arial" w:cs="Arial"/>
          <w:sz w:val="24"/>
          <w:szCs w:val="24"/>
        </w:rPr>
        <w:t>iagnostic testing in the early weeks of the course and at intervals throughout the course will be utilised to</w:t>
      </w:r>
      <w:r w:rsidRPr="2030048C">
        <w:rPr>
          <w:rFonts w:ascii="Arial" w:eastAsia="Arial" w:hAnsi="Arial" w:cs="Arial"/>
          <w:sz w:val="24"/>
          <w:szCs w:val="24"/>
        </w:rPr>
        <w:t xml:space="preserve"> not only</w:t>
      </w:r>
      <w:r w:rsidRPr="2030048C">
        <w:rPr>
          <w:rFonts w:ascii="Arial" w:eastAsia="Arial" w:hAnsi="Arial" w:cs="Arial"/>
          <w:sz w:val="24"/>
          <w:szCs w:val="24"/>
        </w:rPr>
        <w:t xml:space="preserve"> test progress in the development</w:t>
      </w:r>
      <w:r w:rsidRPr="2030048C">
        <w:rPr>
          <w:rFonts w:ascii="Arial" w:eastAsia="Arial" w:hAnsi="Arial" w:cs="Arial"/>
          <w:sz w:val="24"/>
          <w:szCs w:val="24"/>
        </w:rPr>
        <w:t xml:space="preserve"> of these skills but also to identify </w:t>
      </w:r>
      <w:r w:rsidRPr="2030048C">
        <w:rPr>
          <w:rFonts w:ascii="Arial" w:eastAsia="Arial" w:hAnsi="Arial" w:cs="Arial"/>
          <w:sz w:val="24"/>
          <w:szCs w:val="24"/>
        </w:rPr>
        <w:t>w</w:t>
      </w:r>
      <w:r w:rsidRPr="2030048C">
        <w:rPr>
          <w:rFonts w:ascii="Arial" w:eastAsia="Arial" w:hAnsi="Arial" w:cs="Arial"/>
          <w:sz w:val="24"/>
          <w:szCs w:val="24"/>
        </w:rPr>
        <w:t>here students m</w:t>
      </w:r>
      <w:r w:rsidRPr="2030048C">
        <w:rPr>
          <w:rFonts w:ascii="Arial" w:eastAsia="Arial" w:hAnsi="Arial" w:cs="Arial"/>
          <w:sz w:val="24"/>
          <w:szCs w:val="24"/>
        </w:rPr>
        <w:t xml:space="preserve">ay </w:t>
      </w:r>
      <w:r w:rsidRPr="2030048C">
        <w:rPr>
          <w:rFonts w:ascii="Arial" w:eastAsia="Arial" w:hAnsi="Arial" w:cs="Arial"/>
          <w:sz w:val="24"/>
          <w:szCs w:val="24"/>
        </w:rPr>
        <w:t>nee</w:t>
      </w:r>
      <w:r w:rsidRPr="2030048C">
        <w:rPr>
          <w:rFonts w:ascii="Arial" w:eastAsia="Arial" w:hAnsi="Arial" w:cs="Arial"/>
          <w:sz w:val="24"/>
          <w:szCs w:val="24"/>
        </w:rPr>
        <w:t xml:space="preserve">d additional support which may </w:t>
      </w:r>
      <w:r w:rsidRPr="2030048C">
        <w:rPr>
          <w:rFonts w:ascii="Arial" w:eastAsia="Arial" w:hAnsi="Arial" w:cs="Arial"/>
          <w:sz w:val="24"/>
          <w:szCs w:val="24"/>
        </w:rPr>
        <w:t>be provided</w:t>
      </w:r>
      <w:r w:rsidRPr="2030048C">
        <w:rPr>
          <w:rFonts w:ascii="Arial" w:eastAsia="Arial" w:hAnsi="Arial" w:cs="Arial"/>
          <w:sz w:val="24"/>
          <w:szCs w:val="24"/>
        </w:rPr>
        <w:t xml:space="preserve"> vi</w:t>
      </w:r>
      <w:r w:rsidRPr="2030048C">
        <w:rPr>
          <w:rFonts w:ascii="Arial" w:eastAsia="Arial" w:hAnsi="Arial" w:cs="Arial"/>
          <w:sz w:val="24"/>
          <w:szCs w:val="24"/>
        </w:rPr>
        <w:t>a the Academi</w:t>
      </w:r>
      <w:r w:rsidRPr="2030048C">
        <w:rPr>
          <w:rFonts w:ascii="Arial" w:eastAsia="Arial" w:hAnsi="Arial" w:cs="Arial"/>
          <w:sz w:val="24"/>
          <w:szCs w:val="24"/>
        </w:rPr>
        <w:t>c Skills Centre or other tailored support.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Students are supported by: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Module Leader for ea</w:t>
      </w:r>
      <w:r w:rsidRPr="2030048C">
        <w:rPr>
          <w:rFonts w:ascii="Arial" w:eastAsia="Arial" w:hAnsi="Arial" w:cs="Arial"/>
          <w:sz w:val="24"/>
          <w:szCs w:val="24"/>
        </w:rPr>
        <w:t xml:space="preserve">ch module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w:t>
      </w:r>
      <w:r w:rsidRPr="2030048C">
        <w:rPr>
          <w:rFonts w:ascii="Arial" w:eastAsia="Arial" w:hAnsi="Arial" w:cs="Arial"/>
          <w:sz w:val="24"/>
          <w:szCs w:val="24"/>
        </w:rPr>
        <w:t xml:space="preserve">Leader </w:t>
      </w:r>
      <w:r w:rsidRPr="2030048C">
        <w:rPr>
          <w:rFonts w:ascii="Arial" w:eastAsia="Arial" w:hAnsi="Arial" w:cs="Arial"/>
          <w:sz w:val="24"/>
          <w:szCs w:val="24"/>
        </w:rPr>
        <w:t>to help s</w:t>
      </w:r>
      <w:r w:rsidRPr="2030048C">
        <w:rPr>
          <w:rFonts w:ascii="Arial" w:eastAsia="Arial" w:hAnsi="Arial" w:cs="Arial"/>
          <w:sz w:val="24"/>
          <w:szCs w:val="24"/>
        </w:rPr>
        <w:t>t</w:t>
      </w:r>
      <w:r w:rsidRPr="2030048C">
        <w:rPr>
          <w:rFonts w:ascii="Arial" w:eastAsia="Arial" w:hAnsi="Arial" w:cs="Arial"/>
          <w:sz w:val="24"/>
          <w:szCs w:val="24"/>
        </w:rPr>
        <w:t xml:space="preserve">udents understand the programme structure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Personal Tutors to pr</w:t>
      </w:r>
      <w:r w:rsidRPr="2030048C">
        <w:rPr>
          <w:rFonts w:ascii="Arial" w:eastAsia="Arial" w:hAnsi="Arial" w:cs="Arial"/>
          <w:sz w:val="24"/>
          <w:szCs w:val="24"/>
        </w:rPr>
        <w:t>ovide academi</w:t>
      </w:r>
      <w:r w:rsidRPr="2030048C">
        <w:rPr>
          <w:rFonts w:ascii="Arial" w:eastAsia="Arial" w:hAnsi="Arial" w:cs="Arial"/>
          <w:sz w:val="24"/>
          <w:szCs w:val="24"/>
        </w:rPr>
        <w:t xml:space="preserve">c </w:t>
      </w:r>
      <w:r w:rsidRPr="2030048C">
        <w:rPr>
          <w:rFonts w:ascii="Arial" w:eastAsia="Arial" w:hAnsi="Arial" w:cs="Arial"/>
          <w:sz w:val="24"/>
          <w:szCs w:val="24"/>
        </w:rPr>
        <w:t xml:space="preserve">advice </w:t>
      </w:r>
      <w:r w:rsidRPr="2030048C">
        <w:rPr>
          <w:rFonts w:ascii="Arial" w:eastAsia="Arial" w:hAnsi="Arial" w:cs="Arial"/>
          <w:sz w:val="24"/>
          <w:szCs w:val="24"/>
        </w:rPr>
        <w:t xml:space="preserve">and </w:t>
      </w:r>
      <w:r w:rsidRPr="2030048C">
        <w:rPr>
          <w:rFonts w:ascii="Arial" w:eastAsia="Arial" w:hAnsi="Arial" w:cs="Arial"/>
          <w:sz w:val="24"/>
          <w:szCs w:val="24"/>
        </w:rPr>
        <w:t>guidance, to build rapport between staff and students and contribute to personalising the students’ e</w:t>
      </w:r>
      <w:r w:rsidRPr="2030048C">
        <w:rPr>
          <w:rFonts w:ascii="Arial" w:eastAsia="Arial" w:hAnsi="Arial" w:cs="Arial"/>
          <w:sz w:val="24"/>
          <w:szCs w:val="24"/>
        </w:rPr>
        <w:t>xperience.</w:t>
      </w:r>
      <w:r w:rsidRPr="2030048C">
        <w:rPr>
          <w:rFonts w:ascii="Arial" w:eastAsia="Arial" w:hAnsi="Arial" w:cs="Arial"/>
          <w:sz w:val="24"/>
          <w:szCs w:val="24"/>
        </w:rPr>
        <w:t xml:space="preserve">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placemen</w:t>
      </w:r>
      <w:r w:rsidRPr="2030048C">
        <w:rPr>
          <w:rFonts w:ascii="Arial" w:eastAsia="Arial" w:hAnsi="Arial" w:cs="Arial"/>
          <w:sz w:val="24"/>
          <w:szCs w:val="24"/>
        </w:rPr>
        <w:t>t tutor to give general advice on plac</w:t>
      </w:r>
      <w:r w:rsidRPr="2030048C">
        <w:rPr>
          <w:rFonts w:ascii="Arial" w:eastAsia="Arial" w:hAnsi="Arial" w:cs="Arial"/>
          <w:sz w:val="24"/>
          <w:szCs w:val="24"/>
        </w:rPr>
        <w:t>e</w:t>
      </w:r>
      <w:r w:rsidRPr="2030048C">
        <w:rPr>
          <w:rFonts w:ascii="Arial" w:eastAsia="Arial" w:hAnsi="Arial" w:cs="Arial"/>
          <w:sz w:val="24"/>
          <w:szCs w:val="24"/>
        </w:rPr>
        <w:t xml:space="preserve">ments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w:t>
      </w:r>
      <w:r w:rsidRPr="2030048C">
        <w:rPr>
          <w:rFonts w:ascii="Arial" w:eastAsia="Arial" w:hAnsi="Arial" w:cs="Arial"/>
          <w:sz w:val="24"/>
          <w:szCs w:val="24"/>
        </w:rPr>
        <w:t xml:space="preserve"> software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 designated programme administrator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An induction week at the beginning of each new academic session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Staff S</w:t>
      </w:r>
      <w:r w:rsidRPr="2030048C">
        <w:rPr>
          <w:rFonts w:ascii="Arial" w:eastAsia="Arial" w:hAnsi="Arial" w:cs="Arial"/>
          <w:sz w:val="24"/>
          <w:szCs w:val="24"/>
        </w:rPr>
        <w:t>tudent Consultative Comm</w:t>
      </w:r>
      <w:r w:rsidRPr="2030048C">
        <w:rPr>
          <w:rFonts w:ascii="Arial" w:eastAsia="Arial" w:hAnsi="Arial" w:cs="Arial"/>
          <w:sz w:val="24"/>
          <w:szCs w:val="24"/>
        </w:rPr>
        <w:t xml:space="preserve">ittee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w:t>
      </w:r>
      <w:r w:rsidRPr="2030048C">
        <w:rPr>
          <w:rFonts w:ascii="Arial" w:eastAsia="Arial" w:hAnsi="Arial" w:cs="Arial"/>
          <w:sz w:val="24"/>
          <w:szCs w:val="24"/>
        </w:rPr>
        <w:t>i</w:t>
      </w:r>
      <w:r w:rsidRPr="2030048C">
        <w:rPr>
          <w:rFonts w:ascii="Arial" w:eastAsia="Arial" w:hAnsi="Arial" w:cs="Arial"/>
          <w:sz w:val="24"/>
          <w:szCs w:val="24"/>
        </w:rPr>
        <w:t>nteractive intranet an</w:t>
      </w:r>
      <w:r w:rsidRPr="2030048C">
        <w:rPr>
          <w:rFonts w:ascii="Arial" w:eastAsia="Arial" w:hAnsi="Arial" w:cs="Arial"/>
          <w:sz w:val="24"/>
          <w:szCs w:val="24"/>
        </w:rPr>
        <w:t>d</w:t>
      </w:r>
      <w:r w:rsidRPr="2030048C">
        <w:rPr>
          <w:rFonts w:ascii="Arial" w:eastAsia="Arial" w:hAnsi="Arial" w:cs="Arial"/>
          <w:sz w:val="24"/>
          <w:szCs w:val="24"/>
        </w:rPr>
        <w:t xml:space="preserve"> learning environment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substantial Stud</w:t>
      </w:r>
      <w:r w:rsidRPr="2030048C">
        <w:rPr>
          <w:rFonts w:ascii="Arial" w:eastAsia="Arial" w:hAnsi="Arial" w:cs="Arial"/>
          <w:sz w:val="24"/>
          <w:szCs w:val="24"/>
        </w:rPr>
        <w:t>y Skills Centre that provides academic skills support</w:t>
      </w:r>
      <w:r w:rsidRPr="2030048C">
        <w:rPr>
          <w:rFonts w:ascii="Arial" w:eastAsia="Arial" w:hAnsi="Arial" w:cs="Arial"/>
          <w:sz w:val="24"/>
          <w:szCs w:val="24"/>
        </w:rPr>
        <w:t xml:space="preserve">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include student support officers</w:t>
      </w:r>
      <w:r w:rsidRPr="2030048C">
        <w:rPr>
          <w:rFonts w:ascii="Arial" w:eastAsia="Arial" w:hAnsi="Arial" w:cs="Arial"/>
          <w:sz w:val="24"/>
          <w:szCs w:val="24"/>
        </w:rPr>
        <w:t xml:space="preserve"> prov</w:t>
      </w:r>
      <w:r w:rsidRPr="2030048C">
        <w:rPr>
          <w:rFonts w:ascii="Arial" w:eastAsia="Arial" w:hAnsi="Arial" w:cs="Arial"/>
          <w:sz w:val="24"/>
          <w:szCs w:val="24"/>
        </w:rPr>
        <w:t>ide advice on issues suc</w:t>
      </w:r>
      <w:r w:rsidRPr="2030048C">
        <w:rPr>
          <w:rFonts w:ascii="Arial" w:eastAsia="Arial" w:hAnsi="Arial" w:cs="Arial"/>
          <w:sz w:val="24"/>
          <w:szCs w:val="24"/>
        </w:rPr>
        <w:t>h as finance, regulations, legal matte</w:t>
      </w:r>
      <w:r w:rsidRPr="2030048C">
        <w:rPr>
          <w:rFonts w:ascii="Arial" w:eastAsia="Arial" w:hAnsi="Arial" w:cs="Arial"/>
          <w:sz w:val="24"/>
          <w:szCs w:val="24"/>
        </w:rPr>
        <w:t>r</w:t>
      </w:r>
      <w:r w:rsidRPr="2030048C">
        <w:rPr>
          <w:rFonts w:ascii="Arial" w:eastAsia="Arial" w:hAnsi="Arial" w:cs="Arial"/>
          <w:sz w:val="24"/>
          <w:szCs w:val="24"/>
        </w:rPr>
        <w:t>s, accommodation, international student support etc.</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Disabled st</w:t>
      </w:r>
      <w:r w:rsidRPr="2030048C">
        <w:rPr>
          <w:rFonts w:ascii="Arial" w:eastAsia="Arial" w:hAnsi="Arial" w:cs="Arial"/>
          <w:sz w:val="24"/>
          <w:szCs w:val="24"/>
        </w:rPr>
        <w:t xml:space="preserve">udent support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The Students’ Union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Careers and Employability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xml:space="preserve"> The University </w:t>
      </w:r>
      <w:r w:rsidRPr="2030048C">
        <w:rPr>
          <w:rFonts w:ascii="Arial" w:eastAsia="Arial" w:hAnsi="Arial" w:cs="Arial"/>
          <w:sz w:val="24"/>
          <w:szCs w:val="24"/>
        </w:rPr>
        <w:t>h</w:t>
      </w:r>
      <w:r w:rsidRPr="2030048C">
        <w:rPr>
          <w:rFonts w:ascii="Arial" w:eastAsia="Arial" w:hAnsi="Arial" w:cs="Arial"/>
          <w:sz w:val="24"/>
          <w:szCs w:val="24"/>
        </w:rPr>
        <w:t>as severa</w:t>
      </w:r>
      <w:r w:rsidRPr="2030048C">
        <w:rPr>
          <w:rFonts w:ascii="Arial" w:eastAsia="Arial" w:hAnsi="Arial" w:cs="Arial"/>
          <w:sz w:val="24"/>
          <w:szCs w:val="24"/>
        </w:rPr>
        <w:t>l methods for evaluating and improving</w:t>
      </w:r>
      <w:r w:rsidRPr="2030048C">
        <w:rPr>
          <w:rFonts w:ascii="Arial" w:eastAsia="Arial" w:hAnsi="Arial" w:cs="Arial"/>
          <w:sz w:val="24"/>
          <w:szCs w:val="24"/>
        </w:rPr>
        <w:t xml:space="preserve"> </w:t>
      </w:r>
      <w:r w:rsidRPr="2030048C">
        <w:rPr>
          <w:rFonts w:ascii="Arial" w:eastAsia="Arial" w:hAnsi="Arial" w:cs="Arial"/>
          <w:sz w:val="24"/>
          <w:szCs w:val="24"/>
        </w:rPr>
        <w:t>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 </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Exter</w:t>
      </w:r>
      <w:r w:rsidRPr="2030048C">
        <w:rPr>
          <w:rFonts w:ascii="Arial" w:eastAsia="Arial" w:hAnsi="Arial" w:cs="Arial"/>
          <w:sz w:val="24"/>
          <w:szCs w:val="24"/>
        </w:rPr>
        <w:t>nal examiners</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Periodic review undertaken at the subje</w:t>
      </w:r>
      <w:r w:rsidRPr="2030048C">
        <w:rPr>
          <w:rFonts w:ascii="Arial" w:eastAsia="Arial" w:hAnsi="Arial" w:cs="Arial"/>
          <w:sz w:val="24"/>
          <w:szCs w:val="24"/>
        </w:rPr>
        <w:t>ct level</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Student evaluat</w:t>
      </w:r>
      <w:r w:rsidRPr="2030048C">
        <w:rPr>
          <w:rFonts w:ascii="Arial" w:eastAsia="Arial" w:hAnsi="Arial" w:cs="Arial"/>
          <w:sz w:val="24"/>
          <w:szCs w:val="24"/>
        </w:rPr>
        <w:t>ion</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Moderation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64"/>
        <w:gridCol w:w="223"/>
        <w:gridCol w:w="571"/>
        <w:gridCol w:w="547"/>
        <w:gridCol w:w="547"/>
        <w:gridCol w:w="547"/>
        <w:gridCol w:w="547"/>
        <w:gridCol w:w="547"/>
        <w:gridCol w:w="547"/>
        <w:gridCol w:w="547"/>
        <w:gridCol w:w="571"/>
        <w:gridCol w:w="547"/>
        <w:gridCol w:w="547"/>
        <w:gridCol w:w="547"/>
        <w:gridCol w:w="547"/>
        <w:gridCol w:w="56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ghtGridAccent3">
    <w:name w:val="LightGridAccent3"/>
    <w:basedOn w:val="ListParagraph"/>
  </w:style>
  <w:style w:type="paragraph" w:customStyle="1" w:styleId="Default">
    <w:name w:val="Defaul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177FD0F-ADAA-49A1-A4EB-C79021D9B2C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