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Chemistry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Dip HE Chemistry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UFCHE1CHE03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F100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Chemistry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Chemistry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USBCH1BCH45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Chemistry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Chemistry</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UFCHE1CHE55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Chemistry (RSC)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the UR</w:t>
            </w: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field taken by BSc students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provide students who take the Chemistry field with a broad knowledge of the main branches of the subject (organic, inorganic, physical and analytical chemistry)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      to provide exposure to other areas of the subject, such as environmental, medicinal and industrial or analytical chemistry, and to permit some degree of specialisation within these areas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develop subject related practical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enable students to develop their skills in independent study using both primary and secondary literature sources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provide students with the opportunity to develop their written and oral communication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prepare students for graduate employment (subject related or otherwise) or further study (either taught or by research) by developing their intellectual, problem solving, analytical and key (transferable)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for those students following the sandwich programme: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enable students to complete a period of work experience within the chemical industry, building upon their previous academic knowledge and experience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provide students with an insight into the role of the professional chemist by firsthand experience and to increase their awareness of career opportunities within the chemical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numerical and computational skills necessary for working in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work and study in an independent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 an programme of laboratory work and carry out a safety assessment for 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Applied areas of chemistry (environmental, medicinal, materials and industrial), especially those that are related to the chemical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and report the results of an individual project (or review and evaluate the work of others in a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Report on and draw conclusions from the results of laboratory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Experimental &amp; analytical chemistry, including aspects of separation science and spectroscopy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primary and secondary sources of information, where necessary using multiple sources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preparative and analytical (both qualitative and quantitative) laboratory work in the main branches of 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three core branches of chemistry (inorganic, organic &amp; physical)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problems both in aspects of chemistry and the supporting numerical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instrumentation and understand the technical basis for 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Chemistry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Inorganic and Environmental 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Organic and Physical 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Spectroscopy and Experimental Techniques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4 to Level 5 with 90 credits at Level 4 or above. Progression to Level 5 requires passes in CH4001, CH4002 and CH4003. The outstanding 30 credits from Level 4 can be trailed into level 5 and must be passed before progression to level 6. In addition, students must complete at least 80% of the practical sessions.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Chemistry.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Chemistry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and Experimental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Inorganic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Physical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LS5000 is a core module for students who choose the sandwich year placement.</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5 or above.   The outstanding 30 credits from level 5 can be trailed into level 6 and must be passed before consideration for an award.  In addition students must complete at least 80% of the practical sessions.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Chemistry.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Chemistry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Inorganic and Physical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Synthesis and Natural Products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Analytical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CH6007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CH5004 or CH5006</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5</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Industrial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of the compulsory modules and one option module.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120 credits at each level are eligible for the award of BSc (Hons) Chemistry.</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Tutorials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 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Course Leader to help students understand the course structure</w:t>
      </w:r>
    </w:p>
    <w:p w:rsidRPr="2030048C" w:rsidP="2030048C">
      <w:pPr>
        <w:rPr>
          <w:rFonts w:ascii="Arial" w:eastAsia="Arial" w:hAnsi="Arial" w:cs="Arial"/>
          <w:sz w:val="24"/>
          <w:szCs w:val="24"/>
        </w:rPr>
      </w:pPr>
      <w:r w:rsidRPr="2030048C">
        <w:rPr>
          <w:rFonts w:ascii="Arial" w:eastAsia="Arial" w:hAnsi="Arial" w:cs="Arial"/>
          <w:sz w:val="24"/>
          <w:szCs w:val="24"/>
        </w:rPr>
        <w:t>· Personal Tutors to provide academic and personal support</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software</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 – to ensure the views of students are heard</w:t>
      </w:r>
    </w:p>
    <w:p w:rsidRPr="2030048C" w:rsidP="2030048C">
      <w:pPr>
        <w:rPr>
          <w:rFonts w:ascii="Arial" w:eastAsia="Arial" w:hAnsi="Arial" w:cs="Arial"/>
          <w:sz w:val="24"/>
          <w:szCs w:val="24"/>
        </w:rPr>
      </w:pPr>
      <w:r w:rsidRPr="2030048C">
        <w:rPr>
          <w:rFonts w:ascii="Arial" w:eastAsia="Arial" w:hAnsi="Arial" w:cs="Arial"/>
          <w:sz w:val="24"/>
          <w:szCs w:val="24"/>
        </w:rPr>
        <w:t>· Canvas – Kingston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 Student support facilities that can provide advice on issues such as finance, regulations, legal matters, accommodation, international student support</w:t>
      </w:r>
    </w:p>
    <w:p w:rsidRPr="2030048C" w:rsidP="2030048C">
      <w:pPr>
        <w:rPr>
          <w:rFonts w:ascii="Arial" w:eastAsia="Arial" w:hAnsi="Arial" w:cs="Arial"/>
          <w:sz w:val="24"/>
          <w:szCs w:val="24"/>
        </w:rPr>
      </w:pPr>
      <w:r w:rsidRPr="2030048C">
        <w:rPr>
          <w:rFonts w:ascii="Arial" w:eastAsia="Arial" w:hAnsi="Arial" w:cs="Arial"/>
          <w:sz w:val="24"/>
          <w:szCs w:val="24"/>
        </w:rPr>
        <w:t>· Disabled student support</w:t>
      </w:r>
    </w:p>
    <w:p w:rsidRPr="2030048C" w:rsidP="2030048C">
      <w:pPr>
        <w:rPr>
          <w:rFonts w:ascii="Arial" w:eastAsia="Arial" w:hAnsi="Arial" w:cs="Arial"/>
          <w:sz w:val="24"/>
          <w:szCs w:val="24"/>
        </w:rPr>
      </w:pPr>
      <w:r w:rsidRPr="2030048C">
        <w:rPr>
          <w:rFonts w:ascii="Arial" w:eastAsia="Arial" w:hAnsi="Arial" w:cs="Arial"/>
          <w:sz w:val="24"/>
          <w:szCs w:val="24"/>
        </w:rPr>
        <w:t>· 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 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Continuous Monitoring of courses through the Kingston Course Enhancement Programme (KCEP)</w:t>
      </w:r>
    </w:p>
    <w:p w:rsidR="3D0EBCB8" w:rsidRPr="2030048C" w:rsidP="2030048C">
      <w:pPr>
        <w:rPr>
          <w:rFonts w:ascii="Arial" w:eastAsia="Arial" w:hAnsi="Arial" w:cs="Arial"/>
          <w:sz w:val="24"/>
          <w:szCs w:val="24"/>
        </w:rPr>
      </w:pPr>
      <w:r w:rsidRPr="2030048C">
        <w:rPr>
          <w:rFonts w:ascii="Arial" w:eastAsia="Arial" w:hAnsi="Arial" w:cs="Arial"/>
          <w:sz w:val="24"/>
          <w:szCs w:val="24"/>
        </w:rPr>
        <w:t>· Student evaluation including Module Evaluation Questionnaires (MEQs), the National Student Survey (NSS)</w:t>
      </w:r>
    </w:p>
    <w:p w:rsidR="3D0EBCB8" w:rsidRPr="2030048C" w:rsidP="2030048C">
      <w:pPr>
        <w:rPr>
          <w:rFonts w:ascii="Arial" w:eastAsia="Arial" w:hAnsi="Arial" w:cs="Arial"/>
          <w:sz w:val="24"/>
          <w:szCs w:val="24"/>
        </w:rPr>
      </w:pPr>
      <w:r w:rsidRPr="2030048C">
        <w:rPr>
          <w:rFonts w:ascii="Arial" w:eastAsia="Arial" w:hAnsi="Arial" w:cs="Arial"/>
          <w:sz w:val="24"/>
          <w:szCs w:val="24"/>
        </w:rPr>
        <w:t>· 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2"/>
          <w:szCs w:val="22"/>
        </w:rPr>
        <w:t>The Industrial Advisory Board for the Department of Chemical and Pharmaceutical Sciences</w:t>
      </w:r>
    </w:p>
    <w:p w:rsidR="3D0EBCB8" w:rsidRPr="2030048C" w:rsidP="2030048C">
      <w:pPr>
        <w:rPr>
          <w:rFonts w:ascii="Arial" w:eastAsia="Arial" w:hAnsi="Arial" w:cs="Arial"/>
          <w:sz w:val="24"/>
          <w:szCs w:val="24"/>
        </w:rPr>
      </w:pPr>
      <w:r w:rsidRPr="2030048C">
        <w:rPr>
          <w:rFonts w:ascii="Arial" w:eastAsia="Arial" w:hAnsi="Arial" w:cs="Arial"/>
          <w:sz w:val="22"/>
          <w:szCs w:val="22"/>
        </w:rPr>
        <w:t>Royal Society of Chemistry quinquennial reaccreditation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 xml:space="preserve">Royal Society of Chemistry: </w:t>
      </w:r>
      <w:hyperlink r:id="rId11" w:history="1">
        <w:r w:rsidRPr="2030048C">
          <w:rPr>
            <w:rFonts w:ascii="Arial" w:eastAsia="Arial" w:hAnsi="Arial" w:cs="Arial"/>
            <w:sz w:val="24"/>
            <w:szCs w:val="24"/>
          </w:rPr>
          <w:t>https://www.rsc.org</w:t>
        </w:r>
      </w:hyperlink>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 xml:space="preserve">Advance HE: </w:t>
      </w:r>
      <w:hyperlink r:id="rId12" w:history="1">
        <w:r w:rsidRPr="2030048C">
          <w:rPr>
            <w:rFonts w:ascii="Arial" w:eastAsia="Arial" w:hAnsi="Arial" w:cs="Arial"/>
            <w:sz w:val="24"/>
            <w:szCs w:val="24"/>
          </w:rPr>
          <w:t>https://www.advance-he.ac.uk</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9"/>
        <w:gridCol w:w="247"/>
        <w:gridCol w:w="633"/>
        <w:gridCol w:w="633"/>
        <w:gridCol w:w="633"/>
        <w:gridCol w:w="632"/>
        <w:gridCol w:w="1"/>
        <w:gridCol w:w="633"/>
        <w:gridCol w:w="633"/>
        <w:gridCol w:w="633"/>
        <w:gridCol w:w="631"/>
        <w:gridCol w:w="2"/>
        <w:gridCol w:w="633"/>
        <w:gridCol w:w="633"/>
        <w:gridCol w:w="633"/>
        <w:gridCol w:w="62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advance-he.ac.uk/"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rsc.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1AA3BD7-101B-447F-A519-5F6732B70CF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