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UPBMS1BMS01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B930 (Single honours) B931 (with sandwich), B948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Institute of Biomedical Science</w:t>
            </w:r>
            <w:r w:rsidRPr="2030048C">
              <w:rPr>
                <w:rStyle w:val="normaltextrun"/>
                <w:rFonts w:ascii="Arial" w:eastAsia="Arial" w:hAnsi="Arial" w:cs="Arial"/>
                <w:b w:val="0"/>
                <w:bCs w:val="0"/>
                <w:color w:val="000000"/>
                <w:sz w:val="24"/>
                <w:szCs w:val="24"/>
                <w:shd w:val="clear" w:color="auto" w:fill="FFFFFF"/>
              </w:rPr>
              <w:t xml:space="preserve"> (IBMS)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There are no variants to the UR</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Biomedical Science program aims to provide students with in-depth knowledge and practical skills in the core elements of biomedicine. Students will learn to critically evaluate primary and secondary sources, conduct independent research projects, and develop strong written and oral communication abilities. The curriculum prepares students for diverse careers, equipping them with intellectual, problem-solving, and transferable skills applicable to scientific and non-scientific fields, including the health service.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 key focus is integrating the UN Sustainable Development Goals into the program. This approach develops students' understanding of the critical role biosciences plays in addressing global health, social, and environmental challenges. Graduates gain the knowledge and skills to contribute to sustainable solutions in areas like drug development and healthcare delivery.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the program provides opportunities for students to gain valuable work experience through a professional placement year. Overall, the program aims to produce well-rounded biomedical graduates ready for lifelong learning and impactful careers that improve human health and welfare worldwide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pursue further professional training and careers in both the life and medical sciences, and more broadly in industry and the public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a submitted sample.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important role of epidemiology: the nature, formation, occurrence and distribution of disease and its relevance to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scientific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need for compliance with health and safety policies, good laboratory practice, risk and COSHH assessments and the importance of quality control and quality assurance as defined by the IBMS.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and procedures used in biomedical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accurate outline of the procedures of specimen collection and preservation with respect to subsequent tests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instruments and understand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 comparison and assessment of a variety of analytical methodologies and instrumentation with regard to performance and applicability;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in an efficient manner the techniques used widely in the field of biomedicine;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quality management systems, timeliness and accuracy in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 good knowledge and understanding of the role of biomedical scientists and other health professionals in the investigation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outline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This course is designed to fulfil the core curriculum requirements of the Institute of Biomedical Science (IBMS) with the programme learning outcomes benchmarked to the QAA for Higher Education Biosciences subject area statement 2023.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Biochemistry for Biomedical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and Anatomy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Physiology,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the four core level 5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4"/>
          <w:szCs w:val="24"/>
        </w:rPr>
        <w:t>This course </w:t>
      </w:r>
      <w:r w:rsidRPr="2030048C">
        <w:rPr>
          <w:rStyle w:val="normaltextrun"/>
          <w:rFonts w:ascii="Arial" w:eastAsia="Arial" w:hAnsi="Arial" w:cs="Arial"/>
          <w:i/>
          <w:iCs/>
          <w:color w:val="000000" w:themeColor="text1" w:themeShade="FF" w:themeTint="FF"/>
          <w:sz w:val="24"/>
          <w:szCs w:val="24"/>
        </w:rPr>
        <w:t>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Professional Placement)</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(with Professional Placement)</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the four core level 5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4"/>
          <w:szCs w:val="24"/>
        </w:rPr>
        <w:t>This course </w:t>
      </w:r>
      <w:r w:rsidRPr="2030048C">
        <w:rPr>
          <w:rStyle w:val="normaltextrun"/>
          <w:rFonts w:ascii="Arial" w:eastAsia="Arial" w:hAnsi="Arial" w:cs="Arial"/>
          <w:i/>
          <w:iCs/>
          <w:color w:val="000000" w:themeColor="text1" w:themeShade="FF" w:themeTint="FF"/>
          <w:sz w:val="24"/>
          <w:szCs w:val="24"/>
        </w:rPr>
        <w:t>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Chemistry and Haematology (Blood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Foundation Year)</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4"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C"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(with Foundation Year)</w:t>
            </w:r>
          </w:p>
        </w:tc>
      </w:tr>
      <w:tr w14:paraId="448CA5C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C"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D"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 (with Foundation Year)</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C0"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C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C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(with Foundation Year)</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Chemistry and Haematology (Blood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meetings with Industrial liaison committee to ensure that our content is in line with industry and employers' requirements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Remaining up to date with the IBMS QAA statement and making changes When necessary</w:t>
      </w:r>
    </w:p>
    <w:p w:rsidR="3D0EBCB8"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2"/>
          <w:szCs w:val="22"/>
        </w:rPr>
        <w:t>This course is designed to fulfil the core curriculum requirements of the Institute of Biomedical Science (IBMS) with the programme learning outcomes benchmarked to the QAA for Higher Education Biosciences subject area statement 2023. The curriculum requires all students to pass each element of the “clinical subjects” (this includes: LS5009 Pathobiology, LS5023 medical genetics, LS6xxx Clinical Chemistry, Haematology &amp; Transfusion Science, LS6006 Clinical Immunology &amp; Medical Microbiology and LS6007 Clinical Applications of Biomedical Science), failure to achieve this after the maximum number of reassessment attempts will result in students being moved on to the non accredited “Biomedical Studies” exit award.</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61"/>
        <w:gridCol w:w="180"/>
        <w:gridCol w:w="1"/>
        <w:gridCol w:w="442"/>
        <w:gridCol w:w="1"/>
        <w:gridCol w:w="442"/>
        <w:gridCol w:w="1"/>
        <w:gridCol w:w="442"/>
        <w:gridCol w:w="1"/>
        <w:gridCol w:w="442"/>
        <w:gridCol w:w="1"/>
        <w:gridCol w:w="442"/>
        <w:gridCol w:w="1"/>
        <w:gridCol w:w="441"/>
        <w:gridCol w:w="1"/>
        <w:gridCol w:w="1"/>
        <w:gridCol w:w="442"/>
        <w:gridCol w:w="1"/>
        <w:gridCol w:w="442"/>
        <w:gridCol w:w="1"/>
        <w:gridCol w:w="442"/>
        <w:gridCol w:w="1"/>
        <w:gridCol w:w="442"/>
        <w:gridCol w:w="1"/>
        <w:gridCol w:w="442"/>
        <w:gridCol w:w="1"/>
        <w:gridCol w:w="442"/>
        <w:gridCol w:w="1"/>
        <w:gridCol w:w="439"/>
        <w:gridCol w:w="3"/>
        <w:gridCol w:w="1"/>
        <w:gridCol w:w="442"/>
        <w:gridCol w:w="1"/>
        <w:gridCol w:w="442"/>
        <w:gridCol w:w="1"/>
        <w:gridCol w:w="442"/>
        <w:gridCol w:w="1"/>
        <w:gridCol w:w="442"/>
        <w:gridCol w:w="1"/>
        <w:gridCol w:w="43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A73FE5E-C013-482F-8728-7A0CA58E9F2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