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Special Educational Needs, Inclusion and Wellbeing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Special Educational Needs, Inclusion and Wellbeing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Education: in Special Educational Needs,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Education: Special Educational Needs, Inclusion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Education: Special Educational Needs, Inclusion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UFSEW1SEW20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X010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(Hons) Education Special Educational Needs, Inclusion and Wellbeing provides students with comprehensive opportunities to deepen and apply their knowledge and expertise of inclusive and wellbeing education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the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fields of Inclusion and Wellbeing in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Inclusion and Wellbeing in education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relevant legislation, policy and frameworks which pertain to education practice with a focus on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Special Educational Needs, Inclusion and Wellbeing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Education: Special Educational Needs, Inclusion and Wellbeing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Special Educational Needs, Inclusion and Wellbeing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r w:rsidRPr="2030048C">
        <w:rPr>
          <w:rStyle w:val="normaltextrun"/>
          <w:rFonts w:ascii="Arial" w:eastAsia="Arial" w:hAnsi="Arial" w:cs="Arial"/>
          <w:color w:val="000000" w:themeColor="text1" w:themeShade="FF" w:themeTint="FF"/>
          <w:sz w:val="22"/>
          <w:szCs w:val="22"/>
        </w:rPr>
        <w:t>in Education: </w:t>
      </w:r>
      <w:r w:rsidRPr="2030048C">
        <w:rPr>
          <w:rStyle w:val="normaltextrun"/>
          <w:rFonts w:ascii="Arial" w:eastAsia="Arial" w:hAnsi="Arial" w:cs="Arial"/>
          <w:color w:val="000000" w:themeColor="text1" w:themeShade="FF" w:themeTint="FF"/>
          <w:sz w:val="24"/>
          <w:szCs w:val="24"/>
        </w:rPr>
        <w:t>Special Educational Needs, Inclusion and Wellbeing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 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w:t>
      </w:r>
      <w:r w:rsidRPr="2030048C">
        <w:rPr>
          <w:rStyle w:val="normaltextrun"/>
          <w:rFonts w:ascii="Arial" w:eastAsia="Arial" w:hAnsi="Arial" w:cs="Arial"/>
          <w:color w:val="000000" w:themeColor="text1" w:themeShade="FF" w:themeTint="FF"/>
          <w:sz w:val="24"/>
          <w:szCs w:val="24"/>
        </w:rPr>
        <w:t>BA Education: Special Educational Needs, Inclusion and Wellbeing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https://www.qaa.ac.uk/the-quality-code/subject-benchmark-statements/early-childhood-studies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90"/>
        <w:gridCol w:w="228"/>
        <w:gridCol w:w="593"/>
        <w:gridCol w:w="593"/>
        <w:gridCol w:w="593"/>
        <w:gridCol w:w="593"/>
        <w:gridCol w:w="593"/>
        <w:gridCol w:w="593"/>
        <w:gridCol w:w="593"/>
        <w:gridCol w:w="593"/>
        <w:gridCol w:w="593"/>
        <w:gridCol w:w="593"/>
        <w:gridCol w:w="593"/>
        <w:gridCol w:w="576"/>
        <w:gridCol w:w="59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D92F50C-84C4-4A5A-8E27-A26A9D8E898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