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Education: Special Educational Needs, Inclusion and Wellbeing (Distance Learning)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09/01/2026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23/03/2026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Education, Midwifery and Social Work</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Education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Education: Special Educational Needs, Inclusion and Wellbeing (Distance Learning)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Education: Special Educational Needs, Inclusion and Wellbeing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Education: Special Educational Needs, Inclusion and Wellbeing (Distance Learning)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Education: Special Educational Needs, Inclusion and Wellbeing (Distance Learning)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UOSIW1SIW20BD01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Distance Learning</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4: Fully online (100%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To retain zero credit modules, to deliver teaching in TB3 and to be exempted from the requirement for one element of assessment per 15 credits</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BA (Hons) Education: Special Educational Needs, Inclusion and Wellbeing is a distance learning course and provides students with comprehensive opportunities to gain and apply their knowledge and expertise of special educational needs, inclusion and wellbeing within professional practice. The aims of the course are to enable students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in-depth knowledge about education-related subjects with a focus on special educational needs, inclusion and wellbeing and the implications for professional practice, informed by current policy, scholarship, and research.</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Engage families and communities responsibly and accountably, utilising effective communication and interpersonal skills within professional contexts.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Gain proficiency in research methodology, including ethical considerations, data collection, analysis, and interpretation through the evaluation of existing research and application of research skills within a range of educational contexts.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Cultivate independent, reflective, and self-critical learners capable of managing their own professional development needs.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lifelong learning skills that pursue knowledge, values, competencies, and abilities necessary to pursue sustainable future visions that contribute professionally to positive change.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and enhance problem-solving skills by utilising a broad range of digital technologies in complex and unpredictable professional contexts.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Advocate for inclusive and differentiated approaches within educational contexts, empowering students to become agents of change in their communities.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Use evidence-based strategies to enhance learning using online collaborative platforms that address the needs of diverse learners.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Explore the policies and legislation that govern digital citizenship and safe use of technology within educational contexts.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Become proficient at engaging in a digital learning community that engages in multiple forms of collaborative learning to enhance subject knowledge, personal and professional development.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exceptional understanding of the field of Education and its interrelationship with other fields of study.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confidence in the evaluation of an extensive range of evidence to substantiate reasoned argument and reflection that informs professional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effective communication of specialist information for diverse and purposeful audiences.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specialist knowledge from the field of Special Educational Needs, Inclusion and Wellbeing to national and international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and demonstrate creativity and innovation by generating original ideas, based on academic engagement, and application of complex problem-solving skills.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collaborative and cooperative working roles commensurate with multi-professional and multi-agency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and critically analyse legislation, policy and frameworks which pertain to education practice with a focus on Special Educational Needs, Inclusion and Wellbeing.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Evidence the application of knowledge and skills that test concepts and generate solutions towards unpredictable outcomes or circumstances, taking well- informed and well-judged risks.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and develop selected interpersonal, team and networking skills to enhance team performance.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advocate, and apply principles of sustainability to make informed decisions that drive professional practices that benefit the environment and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Exhibit digital competence by effectively utilising digital tools and technologies to enhance professional practice, solve complex problems, and communicate ideas innovatively.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design, and develop specialist projects and/or activities to enhance specific areas of own and/or others learning, work or practice through personal and professional initiative.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ind w:left="570"/>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Outline of Distance Learning Programme Structure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course is a work-based learning programme, so students will engage with module teaching alongside their workplace experience. Students will bring their workplace learning into their studies and their study learning into their workplace. Students will also learn through distinct types of distance learning activities, which include asynchronous and synchronous lectures, seminars, tutorials, and workshops which will all be delivered online.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At the start of the course students will complete an online induction via Canvas. At the end of each session, student’s understanding will be assessed through a range of methods.  As the sessions are offered sequentially to build students understanding and awareness of explicit elements that support their success as distance learners, they are required to complete the course material progressively.</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Engagement with induction training sessions is mandatory and only upon completion of these sessions are students able to access subsequent learning materials.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course structure delivers each 30-credit module sequentially (condensed) over eight teaching weeks. Teaching is delivered through a combination of asynchronous and synchronous learning. Synchronous teaching will occur over two sessions in each module. These synchronous sessions will be recorded and made available for students that are unable to attend.</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The Future Skills requirements are embedded as follows: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Personal and Professional Development 1.</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Personal and Professional Development 2.</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Work-based experience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every module, students are also expected to engage in a work experience setting that provides educational opportunities or input for children or young people, for a minimum of 16 hours per week. The nature of work experience within these settings may be one of the following or a combination of these professional engagement formats: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Paid employment.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Voluntary work.</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Formal placement.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Work experience.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student’s work-based settings will be audited during the admissions process to ensure compliance with course requirements. To be considered an appropriate context for work-based experience, the setting must meet the following criteria:</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Registered Status</w:t>
      </w:r>
      <w:r w:rsidRPr="2030048C">
        <w:rPr>
          <w:rFonts w:ascii="Arial" w:eastAsia="Arial" w:hAnsi="Arial" w:cs="Arial"/>
          <w:color w:val="000000" w:themeColor="text1" w:themeShade="FF" w:themeTint="FF"/>
          <w:sz w:val="24"/>
          <w:szCs w:val="24"/>
        </w:rPr>
        <w:br/>
      </w:r>
      <w:r w:rsidRPr="2030048C">
        <w:rPr>
          <w:rFonts w:ascii="Arial" w:eastAsia="Arial" w:hAnsi="Arial" w:cs="Arial"/>
          <w:color w:val="000000" w:themeColor="text1" w:themeShade="FF" w:themeTint="FF"/>
          <w:sz w:val="24"/>
          <w:szCs w:val="24"/>
        </w:rPr>
        <w:t>The setting must be a formally registered organisation, charity, movement, or institution. This must be verifiable through a registration number or equivalent identifier. Please see the Work-based Learning Partnership Agreement for further information.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term ‘appropriate setting’ within the entry requirements is intentionally broad to reflect the diverse contexts in which students may be working. It includes, but is not limited to:</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Schools (primary, secondary, special education)</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Nursery settings</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Childminders</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Museums and heritage education programmes</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Scout or Guide placements</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Community learning environments</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Youth work or informal education settings</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Charities or clubs that run activities for children and young people</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Hospital volunteers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inclusive approach supports the course’s global reach and ensures that students can engage in meaningful professional practice wherever they are based.</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Educational Provision</w:t>
      </w:r>
      <w:r w:rsidRPr="2030048C">
        <w:rPr>
          <w:rFonts w:ascii="Arial" w:eastAsia="Arial" w:hAnsi="Arial" w:cs="Arial"/>
          <w:color w:val="000000" w:themeColor="text1" w:themeShade="FF" w:themeTint="FF"/>
          <w:sz w:val="24"/>
          <w:szCs w:val="24"/>
        </w:rPr>
        <w:br/>
      </w:r>
      <w:r w:rsidRPr="2030048C">
        <w:rPr>
          <w:rFonts w:ascii="Arial" w:eastAsia="Arial" w:hAnsi="Arial" w:cs="Arial"/>
          <w:color w:val="000000" w:themeColor="text1" w:themeShade="FF" w:themeTint="FF"/>
          <w:sz w:val="24"/>
          <w:szCs w:val="24"/>
        </w:rPr>
        <w:t>The setting must offer meaningful educational experiences. It should enable the student to actively contribute and be supported in developing the skills, knowledge, attitudes, and behaviours required to become an effective pedagogue. Students will be required to upload documents to support their engagement with the work-based setting.</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Critical Professional Advocate (CPA)</w:t>
      </w:r>
      <w:r w:rsidRPr="2030048C">
        <w:rPr>
          <w:rFonts w:ascii="Arial" w:eastAsia="Arial" w:hAnsi="Arial" w:cs="Arial"/>
          <w:color w:val="000000" w:themeColor="text1" w:themeShade="FF" w:themeTint="FF"/>
          <w:sz w:val="24"/>
          <w:szCs w:val="24"/>
        </w:rPr>
        <w:br/>
      </w:r>
      <w:r w:rsidRPr="2030048C">
        <w:rPr>
          <w:rFonts w:ascii="Arial" w:eastAsia="Arial" w:hAnsi="Arial" w:cs="Arial"/>
          <w:color w:val="000000" w:themeColor="text1" w:themeShade="FF" w:themeTint="FF"/>
          <w:sz w:val="24"/>
          <w:szCs w:val="24"/>
        </w:rPr>
        <w:t>The setting must identify a named, experienced staff member who will act as the student’s Critical Professional Advocate (CPA). This individual will receive asynchronous training from the university to support the student’s development and engagement on the course. In the event that a student is unable to identify a suitable CPA, the University will provide one from its national and international professional networks, and if the University is unable to provide one, the academic tutor will assume the CPA role.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Assessment Opportunities</w:t>
      </w:r>
      <w:r w:rsidRPr="2030048C">
        <w:rPr>
          <w:rFonts w:ascii="Arial" w:eastAsia="Arial" w:hAnsi="Arial" w:cs="Arial"/>
          <w:color w:val="000000" w:themeColor="text1" w:themeShade="FF" w:themeTint="FF"/>
          <w:sz w:val="24"/>
          <w:szCs w:val="24"/>
        </w:rPr>
        <w:br/>
      </w:r>
      <w:r w:rsidRPr="2030048C">
        <w:rPr>
          <w:rFonts w:ascii="Arial" w:eastAsia="Arial" w:hAnsi="Arial" w:cs="Arial"/>
          <w:color w:val="000000" w:themeColor="text1" w:themeShade="FF" w:themeTint="FF"/>
          <w:sz w:val="24"/>
          <w:szCs w:val="24"/>
        </w:rPr>
        <w:t>The setting must allow the student to undertake course related assessment tasks and observations, in alignment with the academic requirements of the course. There is no requirement for the setting to administer assessments.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Change in work-based learning experience circumstances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If a student has a change in their work-based learning experience circumstance during the course, we will ensure they are not disadvantaged. While resolving the issue may take time, affected students will be supported through structured scenarios and tasks aligned with the module’s learning outcomes, ensuring continuity and fulfilment of required learning hours.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Progression between levels: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course permits the trailing of 30 credits from one level to the next. The outstanding 30 credits can be trailed into the next level and must be passed before being able to progress any further. For example, 30 credits from level 4 can be trailed into level 5 but must be passed before being able to progress to level 6. 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Education: Special Educational Needs, Inclusion and Wellbeing (Distance Learning)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Education: Special Educational Needs, Inclusion and Wellbeing (Distance Learning)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Development Theories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DL4001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Education for Sustainability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DL4003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Effective practice in the field of special educational needs and inclusion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DL4012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2/3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DL4000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2/3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Education: Special Educational Needs, Inclusion and Wellbeing.</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Education: Special Educational Needs, Inclusion and Wellbeing (Distance Learning)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Children's Rights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DL5001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Equality, Diversity and Inclusion in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DL5003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DL5000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Understanding Mental Health and Wellbeing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DL5012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2/3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Education: Special Educational Needs, Inclusion and Wellbeing.</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Education: Special Educational Needs, Inclusion and Wellbeing (Distance Learning)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Contemporary Issues in supporting Health and Wellbeing in Education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DL6011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Leading Effective Inclusive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DL6012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DL6000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Research Informed Approaches for Collaboration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DL6003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BA Education: Special Educational Needs, Inclusion and Wellbeing (Ordinary Degree).</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This course design uses a range of teaching and assessment methods to support students’ learning and achievement of the learning outcomes within a distance learning framework.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 Future Skills will be offered on the course through the Personal and Professional Development modules: Navigate at Level 4 and Explore at Level 5. Apply will be embedded as a 15-credit module at the start of Level 6.</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As distance learners, students are expected to have a suitable computer with internet connection, together with sufficient Information Technology competence to make effective use of our virtual learning environment (VLE) (Canvas) and digital communication channels (Microsoft Teams and emails).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order to complete the course successfully, students will need access to the recommended specification of PC, laptop, or Mac with internet access and a microphone/headphone function. Our on-campus machines run Windows 11 and we recommend that students also have access to this operating system (or macOS 13 or higher for Mac users). No premium hardware is required and whilst tablets, mobile phones and iPads will not be suitable for all practical aspects of the course, they will work well as mobile technologies to access much of the course materials to support learning.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descriptors: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Work-based experience.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Asynchronous and synchronous seminars.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Synchronous Tutorials.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Asynchronous and synchronous Workshops.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Synchronous Tutorials with Digital Mentors.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synchronous and asynchronous activities are designed to foster knowledge acquisition, collaborative learning, and reflective practice. The synchronous lectures, seminars and workshops provide opportunities for real time engagement scheduled in time zones that suit the cohort group, enabling students to interact directly with tutors and peers, clarify concepts, and develop critical thinking through discussion and debate. For those not able to make the synchronous teaching sessions, recordings will be made available via the VLE so these students are still able to follow the content delivered soon after the sessions. This will be complemented with tutorials for those that require it. In addition to synchronous sessions, the asynchronous provision including recorded lectures, online seminars, virtual workshops and question and answer discussion boards made available through the VLE offers flexibility for students to engage with materials at their own pace, revisit key content, and contribute to ongoing dialogue in a reflective manner. Together, these approaches ensure that students not only gain subject knowledge but also build skills in independent study, peer collaboration, and professional reflection, supporting their development as inclusive practitioners.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VLE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through simulations and links to external websites.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In addition to this thread throughout the course, there is a distinct ‘Education for Sustainability’ module at Level 4.</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Digital Mentors to support with the technicalities of digital learning.</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 (KSU inclusion hub).</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0"/>
        </w:numPr>
        <w:ind w:left="720" w:hanging="360"/>
        <w:jc w:val="left"/>
        <w:rPr>
          <w:rFonts w:ascii="Arial" w:eastAsia="Arial" w:hAnsi="Arial" w:cs="Arial"/>
          <w:sz w:val="24"/>
          <w:szCs w:val="24"/>
        </w:rPr>
      </w:pPr>
      <w:hyperlink r:id="rId11" w:history="1">
        <w:r w:rsidRPr="2030048C">
          <w:rPr>
            <w:rFonts w:ascii="Arial" w:eastAsia="Arial" w:hAnsi="Arial" w:cs="Arial"/>
            <w:sz w:val="24"/>
            <w:szCs w:val="24"/>
          </w:rPr>
          <w:t>Education Studies Subject Benchmarks</w:t>
        </w:r>
      </w:hyperlink>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Work-based learning External Examiners.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27"/>
        <w:gridCol w:w="236"/>
        <w:gridCol w:w="588"/>
        <w:gridCol w:w="588"/>
        <w:gridCol w:w="588"/>
        <w:gridCol w:w="586"/>
        <w:gridCol w:w="2"/>
        <w:gridCol w:w="588"/>
        <w:gridCol w:w="588"/>
        <w:gridCol w:w="588"/>
        <w:gridCol w:w="584"/>
        <w:gridCol w:w="4"/>
        <w:gridCol w:w="588"/>
        <w:gridCol w:w="588"/>
        <w:gridCol w:w="588"/>
        <w:gridCol w:w="588"/>
        <w:gridCol w:w="59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DL4001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DL4012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DL4003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DL4000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DL5000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DL5001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DL5012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DL5003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DL6000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DL6011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DL6012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DL6003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Pr="2030048C" w:rsidP="2030048C">
      <w:pPr>
        <w:rPr>
          <w:rFonts w:ascii="Arial" w:eastAsia="Arial" w:hAnsi="Arial" w:cs="Arial"/>
          <w:sz w:val="24"/>
          <w:szCs w:val="24"/>
        </w:rPr>
      </w:pPr>
      <w:r w:rsidRPr="2030048C">
        <w:rPr>
          <w:rFonts w:ascii="Arial" w:eastAsia="Arial" w:hAnsi="Arial" w:cs="Arial"/>
          <w:sz w:val="24"/>
          <w:szCs w:val="24"/>
        </w:rPr>
        <w:t>Students will need to complete tasks in a specific order, which helps tutors to monitor their progress and offer support where required. This approach ensures that students stay on track and get the help and support they need.</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has a robust bespoke safeguarding and child protection training that is fit for global education citizenship and forms a unique part of the course. Engagement in the asynchronous tasks which are spread out throughout the three years of study provides further enhancements to the skill set of the students.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will also follow a Study Skills programme that supports their academic skills and progress which covers the essentials including note taking, reading critically to more complex elements such as assessment literacy and feedback literacy. These sessions will be offered through asynchronous tasks.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are also required to complete a range of forms providing audit points within the course. These forms also support the student’s work experience engagement including the role and involvement of their Critical Professional Advocate.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docs/qaa/subject-benchmark-statements/subject-benchmark-statement-education-studies.pdf?sfvrsn=3ae2cb81_5"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8233A27A-CE35-41EC-B5F7-649159E3429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