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Education: Special Educational Needs, Inclusion and Wellbeing (Distance Learning)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09/01/2026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Education: Special Educational Needs, Inclusion and Wellbeing (Distance Learning)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Education: Special Educational Needs, Inclusion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Education: Special Educational Needs, Inclusion and Wellbeing (Distance Learning)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Education: Special Educational Needs, Inclusion and Wellbeing (Distance Learning)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UOSIW1SIW20BD01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Distance Learning</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4: Fully online (100%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retain zero credit modules, to deliver teaching in TB3 and to be exempted from the requirement for one element of assessment per 15 credits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BA (Hons) Education: Special Educational Needs, Inclusion and Wellbeing is a distance learning course and provides students with comprehensive opportunities to gain and apply their knowledge and expertise of special educational needs, inclusion and wellbeing within professional practice. The aims of the course are to enable students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in-depth knowledge about education-related subjects with a focus on special educational needs, inclusion and wellbeing and the implications for professional practice, informed by current policy, scholarship, and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Engage families and communities responsibly and accountably, utilising effective communication and interpersonal skills within professional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Gain proficiency in research methodology, including ethical considerations, data collection, analysis, and interpretation through the evaluation of existing research and application of research skills within a range of educational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independent, reflective, and self-critical learners capable of managing their own professional development needs.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lifelong learning skills that pursue knowledge, values, competencies, and abilities necessary to pursue sustainable future visions that contribute professionally to positive change.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and enhance problem-solving skills by utilising a broad range of digital technologies in complex and unpredictable professional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Advocate for inclusive and differentiated approaches within educational contexts, empowering students to become agents of change in their communities.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Use evidence-based strategies to enhance learning using online collaborative platforms that address the needs of diverse learners.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Explore the policies and legislation that govern digital citizenship and safe use of technology within educational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Become proficient at engaging in a digital learning community that engages in multiple forms of collaborative learning to enhance subject knowledge, personal and professional development.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exceptional understanding of the field of Education and its interrelationship with other fields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confidence in the evaluation of an extensive range of evidence to substantiate reasoned argument and reflection that informs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communication of specialist information for diverse and purposeful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specialist knowledge from the field of Special Educational Needs, Inclusion and Wellbeing to national and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demonstrate creativity and innovation by generating original ideas, based on academic engagement, and application of complex problem-solving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multi-professional and multi-agency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and critically analyse legislation, policy and frameworks which pertain to education practice with a focus on Special Educational Needs, Inclusion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the application of knowledge and skills that test concepts and generate solutions towards unpredictable outcomes or circumstances, taking well- informed and well-judged risks.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and develop selected interpersonal, team and networking skills to enhance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advocate, and apply principles of sustainability to make informed decisions that drive professional practices that benefit the environment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digital competence by effectively utilising digital tools and technologies to enhance professional practice, solve complex problems, and communicate ideas innovatively.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design, and develop specialist projects and/or activities to enhance specific areas of own and/or others learning, work or practice through personal and professional initiative.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Outline of Distance Learning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is a work-based learning programme, so students will engage with module teaching alongside their workplace experience. Students will bring their workplace learning into their studies and their study learning into their workplace. Students will also learn through distinct types of distance learning activities, which include asynchronous and synchronous lectures, seminars, tutorials, and workshops which will all be delivered online.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At the start of the course students will complete an online induction via Canvas. At the end of each session, student’s understanding will be assessed through a range of methods.  As the sessions are offered sequentially to build students understanding and awareness of explicit elements that support their success as distance learners, they are required to complete the course material progressively.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Engagement with induction training sessions is mandatory and only upon completion of these sessions are students able to access subsequent learning materials.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structure delivers each 30-credit module sequentially (condensed) over eight teaching weeks. Teaching is delivered through a combination of asynchronous and synchronous learning. Synchronous teaching will occur over two sessions in each module. These synchronous sessions will be recorded and made available for students that are unable to attend.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Personal and Professional Development 1.</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Personal and Professional Development 2.</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Work-based experience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every module, students are also expected to engage in a work experience setting that provides educational opportunities or input for children or young people, for a minimum of 16 hours per week. The nature of work experience within these settings may be one of the following or a combination of these professional engagement formats: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Paid employment.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Voluntary work.</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Formal placement.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Work experience.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work-based settings will be audited during the admissions process to ensure compliance with course requirements. To be considered an appropriate context for work-based experience, the setting must meet the following criteria: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Registered Status</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The setting must be a formally registered organisation, charity, movement, or institution. This must be verifiable through a registration number or equivalent identifier. Please see the Work-based Learning Partnership Agreement for further information.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term ‘appropriate setting’ within the entry requirements is intentionally broad to reflect the diverse contexts in which students may be working. It includes, but is not limited to:</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Schools (primary, secondary, special education)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Nursery settings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Childminders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Museums and heritage education programmes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Scout or Guide placements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Community learning environments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Youth work or informal education settings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Charities or clubs that run activities for children and young people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Hospital volunteers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inclusive approach supports the course’s global reach and ensures that students can engage in meaningful professional practice wherever they are based.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Educational Provision</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The setting must offer meaningful educational experiences. It should enable the student to actively contribute and be supported in developing the skills, knowledge, attitudes, and behaviours required to become an effective pedagogue. Students will be required to upload documents to support their engagement with the work-based setting.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Critical Professional Advocate (CPA)</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The setting must identify a named, experienced staff member who will act as the student’s Critical Professional Advocate (CPA). This individual will receive asynchronous training from the university to support the student’s development and engagement on the course. In the event that a student is unable to identify a suitable CPA, the University will provide one from its national and international professional networks, and if the University is unable to provide one, the academic tutor will assume the CPA role.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Assessment Opportunities</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The setting must allow the student to undertake course related assessment tasks and observations, in alignment with the academic requirements of the course. There is no requirement for the setting to administer assessments.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Change in work-based learning experience circumstances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If a student has a change in their work-based learning experience circumstance during the course, we will ensure they are not disadvantaged. While resolving the issue may take time, affected students will be supported through structured scenarios and tasks aligned with the module’s learning outcomes, ensuring continuity and fulfilment of required learning hours.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Progression between levels: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permits the trailing of 30 credits from one level to the next. The outstanding 30 credits can be trailed into the next level and must be passed before being able to progress any further. For example, 30 credits from level 4 can be trailed into level 5 but must be passed before being able to progress to level 6. 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Education: Special Educational Needs, Inclusion and Wellbeing (Distance Learning)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Special Educational Needs, Inclusion and Wellbeing (Distance Learning)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Development Theories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DL4001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Education for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DL4003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Effective practice in the field of special educational needs and inclusion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DL4012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DL4000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Education: Special Educational Needs, Inclusion and Wellbeing.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Education: Special Educational Needs, Inclusion and Wellbeing (Distance Learning)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Children's Rights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DL5001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Equality, Diversity and Inclusion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DL5003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DL5000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Understanding Mental Health and Wellbeing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DL5012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Education: Special Educational Needs, Inclusion and Wellbeing.</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Special Educational Needs, Inclusion and Wellbeing (Distance Learning)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supporting Health and Wellbeing in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DL6011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Effective Inclusive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DL6012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DL6000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Informed Approaches for Collaboration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DL6003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BA Education: Special Educational Needs, Inclusion and Wellbeing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design uses a range of teaching and assessment methods to support students’ learning and achievement of the learning outcomes within a distance learning framework.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 Future Skills will be offered on the course through the Personal and Professional Development modules: Navigate at Level 4 and Explore at Level 5. Apply will be embedded as a 15-credit module at the start of Level 6.</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 distance learners, students are expected to have a suitable computer with internet connection, together with sufficient Information Technology competence to make effective use of our virtual learning environment (VLE) (Canvas) and digital communication channels (Microsoft Teams and emails).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order to complete the course successfully, students will need access to the recommended specification of PC, laptop, or Mac with internet access and a microphone/headphone function. Our on-campus machines run Windows 11 and we recommend that students also have access to this operating system (or macOS 13 or higher for Mac users). No premium hardware is required and whilst tablets, mobile phones and iPads will not be suitable for all practical aspects of the course, they will work well as mobile technologies to access much of the course materials to support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descriptors: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Work-based experience.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Asynchronous and synchronous 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Synchronous 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Asynchronous and synchronous 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Synchronous Tutorials with Digital Mentors.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synchronous and asynchronous activities are designed to foster knowledge acquisition, collaborative learning, and reflective practice. The synchronous lectures, seminars and workshops provide opportunities for real time engagement scheduled in time zones that suit the cohort group, enabling students to interact directly with tutors and peers, clarify concepts, and develop critical thinking through discussion and debate. For those not able to make the synchronous teaching sessions, recordings will be made available via the VLE so these students are still able to follow the content delivered soon after the sessions. This will be complemented with tutorials for those that require it. In addition to synchronous sessions, the asynchronous provision including recorded lectures, online seminars, virtual workshops and question and answer discussion boards made available through the VLE offers flexibility for students to engage with materials at their own pace, revisit key content, and contribute to ongoing dialogue in a reflective manner. Together, these approaches ensure that students not only gain subject knowledge but also build skills in independent study, peer collaboration, and professional reflection, supporting their development as inclusive practitioners.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through simulations and links to external websites.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In addition to this thread throughout the course, there is a distinct ‘Education for Sustainability’ module at Level 4.</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Digital Mentors to support with the technicalities of digital learning.</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(KSU inclusion hub).</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Education Studies Subject Benchmarks</w:t>
        </w:r>
      </w:hyperlink>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Work-based learning External Examiners.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27"/>
        <w:gridCol w:w="236"/>
        <w:gridCol w:w="588"/>
        <w:gridCol w:w="588"/>
        <w:gridCol w:w="588"/>
        <w:gridCol w:w="586"/>
        <w:gridCol w:w="2"/>
        <w:gridCol w:w="588"/>
        <w:gridCol w:w="588"/>
        <w:gridCol w:w="588"/>
        <w:gridCol w:w="584"/>
        <w:gridCol w:w="4"/>
        <w:gridCol w:w="588"/>
        <w:gridCol w:w="588"/>
        <w:gridCol w:w="588"/>
        <w:gridCol w:w="588"/>
        <w:gridCol w:w="59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DL4000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DL5000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DL6003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Pr="2030048C" w:rsidP="2030048C">
      <w:pPr>
        <w:rPr>
          <w:rFonts w:ascii="Arial" w:eastAsia="Arial" w:hAnsi="Arial" w:cs="Arial"/>
          <w:sz w:val="24"/>
          <w:szCs w:val="24"/>
        </w:rPr>
      </w:pPr>
      <w:r w:rsidRPr="2030048C">
        <w:rPr>
          <w:rFonts w:ascii="Arial" w:eastAsia="Arial" w:hAnsi="Arial" w:cs="Arial"/>
          <w:sz w:val="24"/>
          <w:szCs w:val="24"/>
        </w:rPr>
        <w:t>Students will need to complete tasks in a specific order, which helps tutors to monitor their progress and offer support where required. This approach ensures that students stay on track and get the help and support they need.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has a robust bespoke safeguarding and child protection training that is fit for global education citizenship and forms a unique part of the course. Engagement in the asynchronous tasks which are spread out throughout the three years of study provides further enhancements to the skill set of the students.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will also follow a Study Skills programme that supports their academic skills and progress which covers the essentials including note taking, reading critically to more complex elements such as assessment literacy and feedback literacy. These sessions will be offered through asynchronous tasks.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also required to complete a range of forms providing audit points within the course. These forms also support the student’s work experience engagement including the role and involvement of their Critical Professional Advocate.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ubject-benchmark-statement-education-studies.pdf?sfvrsn=3ae2cb81_5"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233A27A-CE35-41EC-B5F7-649159E3429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