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Education: Early Years Teaching and Learning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01/09/2027</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Education: Early Years Teaching and Learning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Early Years Teaching and Learning.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 Early Years Teaching and Learning.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Early Years Teaching and Learning.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UFETL1ETL20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 xml:space="preserve"> Education: Early Years Teaching and Learning (Graduate Practitioner)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UFEGP1EGP20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Graduate Practitioner Portfolio 0-credit module.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retain zero credit modules, to deliver teaching in TB3 and to be exempted from the requirement for one element of assessment per 15 credits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BA in Education: Early Years Teaching and Learning provides students with comprehensive opportunities to gain and apply a broad understanding of early childhood education to professional practice. The aims of the course are to enable students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in-depth knowledge about education-related subjects with a focus on Early Childhood and the implications for professional practice, informed by current policy, scholarship, and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Engage families and communities responsibly and accountably, utilising effective communication and interpersonal skills within professional Early Childhood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Gain proficiency in research methodology, including ethical considerations, data collection, analysis, and interpretation through the evaluation of existing research and application of research skills within a range of educational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Cultivate independent, reflective, and self-critical learners capable of managing their own professional development needs.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lifelong learning skills that pursue knowledge, values, competencies, and abilities necessary to pursue sustainable future visions that contribute professionally to positive change.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and enhance problem-solving skills by utilising a broad range of digital technologies in complex and unpredictable professional contexts.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Graduate Practitioner route will enable students to: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Enhance leadership skills by applying knowledge and skills to solve complex and unpredictable professional and practical situations with minimal guidance in a work-based context.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Apply specific knowledge to a range of practice-based contexts to promote the best interests of children and their families.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exceptional understanding of the field of Early Childhood and its interrelationship with other fields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confidence in the evaluation of an extensive range of evidence to substantiate reasoned argument and reflection that informs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communication of specialist information for diverse and purposeful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specialist knowledge from the field of Early Childhood to national and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demonstrate creativity and innovation by generating original ideas, based on academic engagement, and application of complex problem-solving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collaborative and cooperative working roles commensurate with multi-professional and multi-agency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and critically analyse legislation, policy and frameworks which pertain to education practice with a focus on Early Childhood.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the application of knowledge and skills that test concepts and generate solutions towards unpredictable outcomes or circumstances, taking well- informed and well-judged risks.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and develop selected interpersonal, team and networking skills to enhance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advocate and apply principles of sustainability to make informed decisions that drive professional practices that benefit the environment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digital competence by effectively utilising digital tools and technologies to enhance professional practice, solve complex problems, and communicate ideas innovatively.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design and develop specialist projects and/or activities to enhance specific areas of own and/or others learning, work or practice through personal and professional initiative.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Employability and work-based learning:</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in this course will develop key employment skills by working in a professional setting for at least 16 hours per week. The modules are designed to support both the theoretical and practical application of knowledge and skills in the workplace. The University’s Townhouse Strategy integrates Future Skills into the curriculum, enabling students to cultivate a diverse set of employability competencies throughout their academic journey. In the first year, students engage with the Navigate module, which lays the foundation for essential skills. The second year introduces the Explore module, encouraging deeper investigation and application of these skills. Finally, in the third year, the Apply module allows students to consolidate and demonstrate their abilities in real-world contexts. This structured approach ensures that students are well-prepared for both academic and professional success.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All students are required to have a Critical Professional Associate (CPA)/mentor to support their professional development in the workplace through ongoing dialogue and supervision where applicable. This mentorship helps to develop students’ personal and professional skills further. The CPA/mentor provides valuable insights, guidance, and feedback, fostering a deeper understanding of industry standards and expectations. Through regular interactions, students can reflect on their experiences, set goals, and identify areas for improvement. This collaborative relationship not only enhances their practical skills but also builds confidence and prepares them for future career challenges. Additionally, the CPA encourages networking and Continued Professional Development opportunities, allowing students to connect with professionals in their field and gain exposure to diverse perspectives and practices.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Broader activities within the course further enhance students’ employability and career progression. These activities include guest lectures by industry specialists and professionals, attendance at exhibitions and conferences, engagement in communities of practice and special interest groups, and membership in professional organisations.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are invited annually to meet with employers who visit Kingston University to discuss career opportunities and professional development.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placements are actively encouraged, though it is the responsibility of individual students to source and secure these opportunities. This experience allows students to reflect on their personal experiences in an applied setting, focus on aspects that relate to theoretical concepts, and evaluate the relationship between theory and practice.</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Personal and Professional Development 1</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Personal and Professional Development 2</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Education: Early Years Teaching and Learning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Early Years Teaching and Learning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Assessment and Inclusive Approaches in the Early Years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Development Theories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Education for Sustainability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Graduate Practitioner Portfolio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 (ACYR)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the trailing of 30 credits from one level to the next. The outstanding 30 credits can be trailed into the next level and must be passed before being able to progress any further. For example, 30 credits from level 4 can be trailed into level 5, but must be passed before being able to progress to level 6. </w:t>
      </w:r>
      <w:r w:rsidRPr="2030048C">
        <w:rPr>
          <w:rStyle w:val="normaltextrun"/>
          <w:rFonts w:ascii="Arial" w:eastAsia="Arial" w:hAnsi="Arial" w:cs="Arial"/>
          <w:color w:val="000000" w:themeColor="text1" w:themeShade="FF" w:themeTint="FF"/>
          <w:sz w:val="21"/>
          <w:szCs w:val="21"/>
        </w:rPr>
        <w:t xml:space="preserv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Early Years Teaching and Learning.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Education: Early Years Teaching and Learning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Children's Rights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Equality, Diversity and Inclusion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Graduate Practitioner Portfolio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Play and Pedagogy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Early Years Teaching and Learning.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Early Years Teaching and Learning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supporting Health and Wellbeing in Early Years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Graduate Practitioner Portfolio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Effective Practice in Early Years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Informed Approaches of Collaborating with others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BSc Early Years Teaching and Learning.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 xml:space="preserve"> Education: Early Years Teaching and Learning (Graduate Practitioner)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structure of the course;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Module Leaders for each module, responsible for content and delivery;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timetabled tutorials with Personal Tutors at regular intervals. The Personal Tutor is identified to students from the outset as their first point of contact.  This enables the Personal Tutor to monitor and intervene, where appropriate or, if problems or unexpected outcomes arise, to signpost students to relevant university professional services;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and the Course Leader who meet on a regular basis to discuss student progress to maintain an overview and to provide consistency of support;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an induction programme to support students to transition into further study at degree level;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representatives for the Student Voice Committee, where good practice and issues of concern can be raised and discussed;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course administrator who advises on course issues such as timetables;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virtual learning environment, Canvas, where all course materials and links to support services are located;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assessment criteria available from the beginning of modules in Canvas and support for assignments inter-woven into teaching and learning sessions;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criterion-referenced assignment feedback and opportunities to discuss feedback with tutors;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additional online study support sessions timetabled to complement assignment submission dates;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 xml:space="preserve">Student Wellbeing which includes </w:t>
      </w:r>
      <w:hyperlink r:id="rId11" w:tgtFrame="_blank" w:history="1">
        <w:r w:rsidRPr="2030048C">
          <w:rPr>
            <w:rFonts w:ascii="Arial" w:eastAsia="Arial" w:hAnsi="Arial" w:cs="Arial"/>
            <w:sz w:val="24"/>
            <w:szCs w:val="24"/>
          </w:rPr>
          <w:t>Disability and Mental Health</w:t>
        </w:r>
      </w:hyperlink>
      <w:r w:rsidRPr="2030048C">
        <w:rPr>
          <w:rFonts w:ascii="Arial" w:eastAsia="Arial" w:hAnsi="Arial" w:cs="Arial"/>
          <w:sz w:val="24"/>
          <w:szCs w:val="24"/>
        </w:rPr>
        <w:t xml:space="preserve"> support services.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QAA Subject benchmarks- https://www.qaa.ac.uk/the-quality-code/subject-benchmark-statements/early-childhood-studies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10"/>
        <w:gridCol w:w="190"/>
        <w:gridCol w:w="1"/>
        <w:gridCol w:w="494"/>
        <w:gridCol w:w="1"/>
        <w:gridCol w:w="494"/>
        <w:gridCol w:w="1"/>
        <w:gridCol w:w="494"/>
        <w:gridCol w:w="1"/>
        <w:gridCol w:w="494"/>
        <w:gridCol w:w="1"/>
        <w:gridCol w:w="494"/>
        <w:gridCol w:w="1"/>
        <w:gridCol w:w="494"/>
        <w:gridCol w:w="1"/>
        <w:gridCol w:w="494"/>
        <w:gridCol w:w="1"/>
        <w:gridCol w:w="494"/>
        <w:gridCol w:w="1"/>
        <w:gridCol w:w="494"/>
        <w:gridCol w:w="1"/>
        <w:gridCol w:w="494"/>
        <w:gridCol w:w="1"/>
        <w:gridCol w:w="1"/>
        <w:gridCol w:w="493"/>
        <w:gridCol w:w="1"/>
        <w:gridCol w:w="494"/>
        <w:gridCol w:w="1"/>
        <w:gridCol w:w="494"/>
        <w:gridCol w:w="1"/>
        <w:gridCol w:w="494"/>
        <w:gridCol w:w="1"/>
        <w:gridCol w:w="480"/>
        <w:gridCol w:w="1"/>
        <w:gridCol w:w="49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QD5003</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disability/"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074DB81-370E-4FC3-8634-28CE509D262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