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Primary Education with recommendation for Qualified Teacher Status (QTS)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Primary Education with recommendation for Qualified Teacher Status (QTS)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BA(Hons) Primary Education Studies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of Higher Education in Primary Education Studies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Primary Education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UFPRE1PRE20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XQD5</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Education, 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Department for Education (DfE) and the Office for Standards in Education (Ofsted) recognise the course and Kingston University as an awarding body for the recommendation of Qualified Teacher Status (QTS)</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At no levels is compensation permitted</w:t>
            </w:r>
          </w:p>
          <w:p w:rsidR="5D711985" w:rsidRPr="158602C4" w:rsidP="158602C4">
            <w:pPr>
              <w:numPr>
                <w:ilvl w:val="0"/>
                <w:numId w:val="12"/>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of more than 60 credits at first attempt, there will be no opportunity for students to ‘replace’ credit.</w:t>
            </w:r>
            <w:r w:rsidRPr="158602C4">
              <w:rPr>
                <w:rStyle w:val="normaltextrun"/>
                <w:rFonts w:ascii="Arial" w:eastAsia="Arial" w:hAnsi="Arial" w:cs="Arial"/>
                <w:b w:val="0"/>
                <w:bCs w:val="0"/>
                <w:color w:val="000000" w:themeColor="text1" w:themeShade="FF" w:themeTint="FF"/>
                <w:sz w:val="24"/>
                <w:szCs w:val="24"/>
              </w:rPr>
              <w:t xml:space="preserve">  </w:t>
            </w:r>
          </w:p>
          <w:p w:rsidR="5D711985" w:rsidRPr="158602C4" w:rsidP="158602C4">
            <w:pPr>
              <w:numPr>
                <w:ilvl w:val="0"/>
                <w:numId w:val="12"/>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School Experience</w:t>
            </w:r>
            <w:r w:rsidRPr="158602C4">
              <w:rPr>
                <w:rStyle w:val="normaltextrun"/>
                <w:rFonts w:ascii="Arial" w:eastAsia="Arial" w:hAnsi="Arial" w:cs="Arial"/>
                <w:b w:val="0"/>
                <w:bCs w:val="0"/>
                <w:color w:val="000000" w:themeColor="text1" w:themeShade="FF" w:themeTint="FF"/>
                <w:sz w:val="24"/>
                <w:szCs w:val="24"/>
              </w:rPr>
              <w:br/>
            </w:r>
            <w:r w:rsidRPr="158602C4">
              <w:rPr>
                <w:rStyle w:val="normaltextrun"/>
                <w:rFonts w:ascii="Arial" w:eastAsia="Arial" w:hAnsi="Arial" w:cs="Arial"/>
                <w:b w:val="0"/>
                <w:bCs w:val="0"/>
                <w:color w:val="000000" w:themeColor="text1" w:themeShade="FF" w:themeTint="FF"/>
                <w:sz w:val="24"/>
                <w:szCs w:val="24"/>
              </w:rPr>
              <w:t>Students will only be offered one opportunity for reassessment in module QB6004 Professional Practice 3.</w:t>
            </w:r>
          </w:p>
          <w:p w:rsidR="5D711985" w:rsidRPr="158602C4" w:rsidP="158602C4">
            <w:pPr>
              <w:shd w:val="clear" w:color="auto" w:fill="FFFFFE"/>
              <w:spacing w:before="0" w:beforeAutospacing="0" w:after="0" w:afterAutospacing="0" w:line="285" w:lineRule="auto"/>
              <w:ind w:left="720" w:right="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will only be offered one opportunity for reassessment in the ‘Professional Practice e-Portfolio’ element for module QB4004 Professional Practice 1 and module QB5004 Professional Practice 2. Students are permitted up to three assessment attempts for Element 2 of QB4004 and QB5004.</w:t>
            </w:r>
          </w:p>
          <w:p w:rsidR="5D711985" w:rsidRPr="158602C4" w:rsidP="158602C4">
            <w:pPr>
              <w:shd w:val="clear" w:color="auto" w:fill="FFFFFE"/>
              <w:spacing w:before="0" w:beforeAutospacing="0" w:after="0" w:afterAutospacing="0" w:line="285" w:lineRule="auto"/>
              <w:ind w:left="720" w:right="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If it is considered that the student has been in breach of Department for Education Teachers’ Standards in their first assessment attempt, Fitness to Practice procedures will be followed.  There will be no opportunity to repeat this module.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those modules that include a theory element alongside School Experience the following will apply:</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School Experience MUST be passed separately. If a student fails but is successful in the resit the school grade will be capped at 40%. </w:t>
            </w:r>
            <w:r w:rsidRPr="158602C4">
              <w:rPr>
                <w:rStyle w:val="normaltextrun"/>
                <w:rFonts w:ascii="Arial" w:eastAsia="Arial" w:hAnsi="Arial" w:cs="Arial"/>
                <w:b w:val="0"/>
                <w:bCs w:val="0"/>
                <w:color w:val="000000" w:themeColor="text1" w:themeShade="FF" w:themeTint="FF"/>
                <w:sz w:val="24"/>
                <w:szCs w:val="24"/>
              </w:rPr>
              <w:t>The overall module grade will be an aggregated grade arising from both theory and school experience</w:t>
            </w:r>
            <w:r w:rsidRPr="158602C4">
              <w:rPr>
                <w:rStyle w:val="normaltextrun"/>
                <w:rFonts w:ascii="Arial" w:eastAsia="Arial" w:hAnsi="Arial" w:cs="Arial"/>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produce qualified teachers of the highest calibre, who, as early career professionals, are able to take their place in the teaching profession with confidence, and make immediate positive contributions to pupils' learning and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ensure that successful students fully meet and can build upon the required professional standards for the recommendation of Qualified Teacher Status (QTS).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present a carefully crafted, cohesive and coherent programme that develops the knowledge, understanding and skills that enable students to meet the demands of the teaching profession and progress to senior positions of responsibility.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set an ethos of continuing professional development by developing in students the knowledge and skills to explore, critically analyse and reflect upon child development, pedagogy, inclusion, curricula, assessment and practice with expert colleagues, in order to contribute fully to improvements concerning high quality and effective teaching and learning in schools.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opportunities and support for individual students to reach their full potential through multiple opportunities to rehearse and refine knowledge and skills in professional practice.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opportunities for students to critically explore and evaluate their values and beliefs in relation to personal and professional conduct and responsibilities to ensure highly effective practice in different educational environments.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good knowledge of National Curriculum subjects, digital learning technologies and their application to all aspects of the primary curriculum and their professional role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teaching and learning theory and how theory and practice are synthesised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their knowledge and teaching skills across the appropriate primary age range and primary curriculum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implement effective learning, teaching and assessment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reflect deeply on professional and pedagogic knowledge and understanding in a critical and proactive manner, with due consideration of alternative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 suitable role model for pupils through the highest level of professionalism and personal standards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professional issues that relate directly to teaching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challenge existing value positions and assumptions and be able to deal with complexities and contradictions in both literature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as an effective professional within a team and the wider school community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of relevant literature, concepts and arguments associated with the teaching and learning of different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level of ‘professional intelligence’ through being reflective, self-critical and able to take responsibility for their own learning and continuing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enthusiasm for, and commitment to, teaching, subject knowledge and their own continuing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relevant and recent research related to the profession and how this might be used to raise standards of teaching and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examine epistemological issues with regard to different subjects in order to facilitate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set high expectations which inspire, motivate and challenge pupils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independent research skills that inform and improve their own professional knowledge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teach well-structured lessons which promote effective progress by pupils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programme structure is designed to reflect four key areas of a teacher’s professional responsibilities – professional practice, core subject curriculum and pedagogy, child development and inclusive practice, and foundation subject curriculum and pedagogy.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four modules are complimentary and enable connections so that learning is seen as a continuum, both horizontally and vertically. The simplicity of the structure enables students to see progressive learning as they move from the introductory year 1 at level 4 to enhanced knowledge, understanding and practice by year 3 at level 6. The structure enables the design of a spiral curriculum (Bruner, 1960) within the vertical modules, where concepts can be revisited, reviewed and developed, where and when appropriate and/or necessary.</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Primary Education with recommendation for Qualified Teacher Status (QTS)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Primary Education with recommendation for Qualified Teacher Status (QTS)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Progression to level 5 requires successful completion of all modules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Primary Education Studies.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Primary Education with recommendation for Qualified Teacher Status (QTS)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successful completion of all modules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Primary Education Studies</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Primary Education with recommendation for Qualified Teacher Status (QTS)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successful completion of all core modules.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120 credits but have not successfully completed the QTS element of assessment are eligible for the award of BA(Hons) Primary Education Studies.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For those wanting to train to be a teacher, part of the excitement is stepping into a classroom as soon as possible to experience working with expert professionals who can model and guide effective practice in support of pupils’ learning and development. This course provides this opportunity within the first few weeks, as students begin to spend one day a week at a school for a specified period during their first year of training, culminating in a short, intensive and immersive, two weeks of experience in the school during the summer term. This exposure to practice in schools working with expert teachers, supports students to contextualise their theoretical and practice learning from the outset, and is a key design feature of this programme.</w:t>
      </w:r>
    </w:p>
    <w:p w:rsidRPr="2030048C" w:rsidP="2030048C">
      <w:pPr>
        <w:rPr>
          <w:rFonts w:ascii="Arial" w:eastAsia="Arial" w:hAnsi="Arial" w:cs="Arial"/>
          <w:sz w:val="24"/>
          <w:szCs w:val="24"/>
        </w:rPr>
      </w:pPr>
      <w:r w:rsidRPr="2030048C">
        <w:rPr>
          <w:rFonts w:ascii="Arial" w:eastAsia="Arial" w:hAnsi="Arial" w:cs="Arial"/>
          <w:sz w:val="24"/>
          <w:szCs w:val="24"/>
        </w:rPr>
        <w:t>As students join the university and just prior to starting their experience in schools, they engage in a comprehensively planned Welcome and Induction Week in the Department of Education. Students are given opportunities to build relationships with others and to develop an early sense of belonging to a professional network. They meet with the course team, personal tutors and other trainees in both formal and informal contexts.</w:t>
      </w:r>
    </w:p>
    <w:p w:rsidRPr="2030048C" w:rsidP="2030048C">
      <w:pPr>
        <w:rPr>
          <w:rFonts w:ascii="Arial" w:eastAsia="Arial" w:hAnsi="Arial" w:cs="Arial"/>
          <w:sz w:val="24"/>
          <w:szCs w:val="24"/>
        </w:rPr>
      </w:pPr>
      <w:r w:rsidRPr="2030048C">
        <w:rPr>
          <w:rFonts w:ascii="Arial" w:eastAsia="Arial" w:hAnsi="Arial" w:cs="Arial"/>
          <w:sz w:val="24"/>
          <w:szCs w:val="24"/>
        </w:rPr>
        <w:t>Library and Information Technology Systems induction sessions are scheduled so that students can have time to familiarise themselves with the virtual learning environment called Canvas and the amazing and extensive resources available to support their studies.</w:t>
      </w:r>
    </w:p>
    <w:p w:rsidRPr="2030048C" w:rsidP="2030048C">
      <w:pPr>
        <w:rPr>
          <w:rFonts w:ascii="Arial" w:eastAsia="Arial" w:hAnsi="Arial" w:cs="Arial"/>
          <w:sz w:val="24"/>
          <w:szCs w:val="24"/>
        </w:rPr>
      </w:pPr>
      <w:r w:rsidRPr="2030048C">
        <w:rPr>
          <w:rFonts w:ascii="Arial" w:eastAsia="Arial" w:hAnsi="Arial" w:cs="Arial"/>
          <w:sz w:val="24"/>
          <w:szCs w:val="24"/>
        </w:rPr>
        <w:t>The course induction includes specific activities that relate to the preparation required before students go into schools and covers aspects of practice such as professionalism, safeguarding, social media for teachers and an introduction to behaviour management. These are all framed by reference to the Core Curriculum Framework (2019) and Teachers’ Standards (DfE, 2011), so that students engage with core professional expectations from the start of the course. The course induction also incorporates key elements of the University’s Welcome and Induction programme that provides students with a complimentary schedule of different activities that reveal the extensive scope of services and resources available to them. The intention is to ensure that students are supported to enjoy their time at university.</w:t>
      </w:r>
    </w:p>
    <w:p w:rsidRPr="2030048C" w:rsidP="2030048C">
      <w:pPr>
        <w:rPr>
          <w:rFonts w:ascii="Arial" w:eastAsia="Arial" w:hAnsi="Arial" w:cs="Arial"/>
          <w:sz w:val="24"/>
          <w:szCs w:val="24"/>
        </w:rPr>
      </w:pPr>
      <w:r w:rsidRPr="2030048C">
        <w:rPr>
          <w:rFonts w:ascii="Arial" w:eastAsia="Arial" w:hAnsi="Arial" w:cs="Arial"/>
          <w:sz w:val="24"/>
          <w:szCs w:val="24"/>
        </w:rPr>
        <w:t>After the main induction activities students settle into timetabled sessions related to the modules on their course. The teaching and learning strategies they experience in the university sessions model both explicitly and implicitly key aspects of primary pedagogy. This philosophy of teaching and learning promotes an understanding of theories such as social constructivism, which emphasises and values the experience of learners through collaborative investigations and dialogue with peers and tutors. Students experience a range and variety of teaching and learning strategies that are demonstrated by expert colleagues within the programme and that mirror approaches within primary teaching and learning that they will encounter in professional practice. This facilitates engagement with a developmental programme of observation and practice in schools and enables professional dialogue, critical reflection and evaluation of the many different pedagogical practices experienced.</w:t>
      </w:r>
    </w:p>
    <w:p w:rsidRPr="2030048C" w:rsidP="2030048C">
      <w:pPr>
        <w:rPr>
          <w:rFonts w:ascii="Arial" w:eastAsia="Arial" w:hAnsi="Arial" w:cs="Arial"/>
          <w:sz w:val="24"/>
          <w:szCs w:val="24"/>
        </w:rPr>
      </w:pPr>
      <w:r w:rsidRPr="2030048C">
        <w:rPr>
          <w:rFonts w:ascii="Arial" w:eastAsia="Arial" w:hAnsi="Arial" w:cs="Arial"/>
          <w:sz w:val="24"/>
          <w:szCs w:val="24"/>
        </w:rPr>
        <w:t>The principles underlying on-going practice are continually explored in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expert colleagues. Developing the ability to critically think about their learning and teaching features strongly from the outset of the course. Students are taught how to seek, interpret, analyse, evaluate, infer and explain knowledge and understanding, with increasing sophistication as they progress through the programme.</w:t>
      </w:r>
    </w:p>
    <w:p w:rsidRPr="2030048C" w:rsidP="2030048C">
      <w:pPr>
        <w:rPr>
          <w:rFonts w:ascii="Arial" w:eastAsia="Arial" w:hAnsi="Arial" w:cs="Arial"/>
          <w:sz w:val="24"/>
          <w:szCs w:val="24"/>
        </w:rPr>
      </w:pPr>
      <w:r w:rsidRPr="2030048C">
        <w:rPr>
          <w:rFonts w:ascii="Arial" w:eastAsia="Arial" w:hAnsi="Arial" w:cs="Arial"/>
          <w:sz w:val="24"/>
          <w:szCs w:val="24"/>
        </w:rPr>
        <w:t>The programme provides a strong emphasis on the core subject areas of mathematics, science and English, including the teaching of early reading, systematic synthetic phonics and grammar. This closely mirrors practice in primary schools, together with a more holistic approach to the curriculum, focusing on innovative and creative approaches to teaching and learning with emphasis on cross-curricular links with the National Curriculum foundation subjects such as physical education, history, geography and art. Utilising different environments (inside and outside) is a feature of the course, as students learn how sensory and physical experiences can generate opportunities for enhancing learning for pupils.</w:t>
      </w:r>
    </w:p>
    <w:p w:rsidRPr="2030048C" w:rsidP="2030048C">
      <w:pPr>
        <w:rPr>
          <w:rFonts w:ascii="Arial" w:eastAsia="Arial" w:hAnsi="Arial" w:cs="Arial"/>
          <w:sz w:val="24"/>
          <w:szCs w:val="24"/>
        </w:rPr>
      </w:pPr>
      <w:r w:rsidRPr="2030048C">
        <w:rPr>
          <w:rFonts w:ascii="Arial" w:eastAsia="Arial" w:hAnsi="Arial" w:cs="Arial"/>
          <w:sz w:val="24"/>
          <w:szCs w:val="24"/>
        </w:rPr>
        <w:t>Digital technologies are evident in all modules. Students experience and develop their knowledge of the appropriate selection and use of digital technologies to promote pupils’ interests and engagement within and beyond the curriculum. Gaining confidence in the use of digital technologies for teaching, learning and assessment is also a key feature of the course and provides opportunities to enhance inclusion.</w:t>
      </w:r>
    </w:p>
    <w:p w:rsidRPr="2030048C" w:rsidP="2030048C">
      <w:pPr>
        <w:rPr>
          <w:rFonts w:ascii="Arial" w:eastAsia="Arial" w:hAnsi="Arial" w:cs="Arial"/>
          <w:sz w:val="24"/>
          <w:szCs w:val="24"/>
        </w:rPr>
      </w:pPr>
      <w:r w:rsidRPr="2030048C">
        <w:rPr>
          <w:rFonts w:ascii="Arial" w:eastAsia="Arial" w:hAnsi="Arial" w:cs="Arial"/>
          <w:sz w:val="24"/>
          <w:szCs w:val="24"/>
        </w:rPr>
        <w:t>Research informed teaching underpins the course and there are opportunities for students to engage with small-scale projects. For example, an on-going Special Educational Needs initiative involves teachers with specific expertise supporting the taught programme as well as students gaining experience by visiting special school settings. In year 2, students engage in learning supported by Driver Youth Trust (DYT), who specialise in supporting children with dyslexia and other literacy difficulties. This collaboration involves students in designing resources to promote literacy development for individual or groups of children with whom they are working in schools. DYT are involved in reviewing some of the resources students will develop for potential inclusion on their website; as free support materials for teachers in schools to help children progress in developing their literacy, if appropriate. Another project provides an opportunity for students to work in collaboration with Kingston Museum to develop educational materials. This exposure to working within different environments with expert colleagues and businesses, supports students to reflect on the rich experiences these opportunities provide to inform their own continuous professional development as they start their careers, and in supporting the pupils with whom they work.</w:t>
      </w:r>
    </w:p>
    <w:p w:rsidRPr="2030048C" w:rsidP="2030048C">
      <w:pPr>
        <w:rPr>
          <w:rFonts w:ascii="Arial" w:eastAsia="Arial" w:hAnsi="Arial" w:cs="Arial"/>
          <w:sz w:val="24"/>
          <w:szCs w:val="24"/>
        </w:rPr>
      </w:pPr>
      <w:r w:rsidRPr="2030048C">
        <w:rPr>
          <w:rFonts w:ascii="Arial" w:eastAsia="Arial" w:hAnsi="Arial" w:cs="Arial"/>
          <w:sz w:val="24"/>
          <w:szCs w:val="24"/>
        </w:rPr>
        <w:t>In promoting effective teaching and learning, and to ensure adherence to professional standards, university tutors and their colleagues in schools, use a range of strategies to exemplify good practice found in the primary sector.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seminars, 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group work with opportunities for discussion and debate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learning and directed study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collaborative learning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group and individual 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role-play, micro teaching and student presentations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use of digital technology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emphasis on personal reflection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field work and educational visits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inputs from expert colleagues and others from the wider field of education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informal tasks and practical experiences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observations of effective practice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written and verbal feedback on academic and professional development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audits of students’ subject knowledge, target setting and action plans</w:t>
      </w:r>
    </w:p>
    <w:p w:rsidRPr="2030048C" w:rsidP="2030048C">
      <w:pPr>
        <w:rPr>
          <w:rFonts w:ascii="Arial" w:eastAsia="Arial" w:hAnsi="Arial" w:cs="Arial"/>
          <w:sz w:val="24"/>
          <w:szCs w:val="24"/>
        </w:rPr>
      </w:pPr>
      <w:r w:rsidRPr="2030048C">
        <w:rPr>
          <w:rFonts w:ascii="Arial" w:eastAsia="Arial" w:hAnsi="Arial" w:cs="Arial"/>
          <w:sz w:val="24"/>
          <w:szCs w:val="24"/>
        </w:rPr>
        <w:t>To maintain progress during the programme students are encouraged to:</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take responsibility for their own learning across and between modules including professional development in practice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take a critical and reflective approach to their own learning and development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actively participate in all timetabled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undertake prescribed reading and extend this further to widen and develop their knowledge and understanding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keep a Personal Development Profile (PDP) of their reflections and actions on progress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maximise the opportunities afforded them by the University’s library and information technology to support their learning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keep ‘professional’ hours and provide a suitable professional role model in every respect for the pupils with whom they are in contact, during all periods of professional placement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set realistic professional, academic targets to ensure their success in terms of the programme aims and learning outcomes, and in meeting professional standards</w:t>
      </w:r>
    </w:p>
    <w:p w:rsidRPr="2030048C" w:rsidP="2030048C">
      <w:pPr>
        <w:rPr>
          <w:rFonts w:ascii="Arial" w:eastAsia="Arial" w:hAnsi="Arial" w:cs="Arial"/>
          <w:sz w:val="24"/>
          <w:szCs w:val="24"/>
        </w:rPr>
      </w:pPr>
      <w:r w:rsidRPr="2030048C">
        <w:rPr>
          <w:rFonts w:ascii="Arial" w:eastAsia="Arial" w:hAnsi="Arial" w:cs="Arial"/>
          <w:sz w:val="24"/>
          <w:szCs w:val="24"/>
        </w:rPr>
        <w:t>Assessment is an integral part of the teaching and learning process and also provides evidence that the professional standards for the recommendation for Qualified Teacher Status are attained by the end of the third year. Knowledge and understanding of the principles of assessment for learning, which are essential to classroom practice, are reflected in the approaches to assessment on the taught course. Students engage in self- and peer- assessment, as well as being summatively assessed. This engagement with the assessment process develops appreciation for the importance of using a range of approaches in the classroom to facilitate pupil progress.</w:t>
      </w:r>
    </w:p>
    <w:p w:rsidRPr="2030048C" w:rsidP="2030048C">
      <w:pPr>
        <w:rPr>
          <w:rFonts w:ascii="Arial" w:eastAsia="Arial" w:hAnsi="Arial" w:cs="Arial"/>
          <w:sz w:val="24"/>
          <w:szCs w:val="24"/>
        </w:rPr>
      </w:pPr>
      <w:r w:rsidRPr="2030048C">
        <w:rPr>
          <w:rFonts w:ascii="Arial" w:eastAsia="Arial" w:hAnsi="Arial" w:cs="Arial"/>
          <w:sz w:val="24"/>
          <w:szCs w:val="24"/>
        </w:rPr>
        <w:t>Formative assessment enables students to build on their previous knowledge and experience, and to develop self-assessment strategies, which are essential if they are to take responsibility for their own learning and professional development as they begin their career. Formative tasks are carefully designed to build knowledge and experience throughout the taught course. These tasks help students to develop the ability to complete summative assignments confidently. They also inform professional practice placements and enable students to synthesise theory and practice. Examples of the tasks and types of formative assessment which have been selected to complement the assessment of learning outcomes are found in module descriptors and include the following: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keeping of reading and reflective learning logs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discussion papers on educational issues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group and individual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filming of micro-teaching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professional dialogue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 assessment of papers and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self-assessment and the setting of targets for future development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production of teaching materials and learning aids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reports on observations made on professional practice placements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preparation of short- and medium-term plans for teaching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production of professional practice portfolios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records of assessment, recording and reporting on pupils’ performance, attainment and ability, including leveling against expected national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audits of subject knowledge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use of digital technology to assist teaching and promote learning</w:t>
      </w:r>
    </w:p>
    <w:p w:rsidRPr="2030048C" w:rsidP="2030048C">
      <w:pPr>
        <w:rPr>
          <w:rFonts w:ascii="Arial" w:eastAsia="Arial" w:hAnsi="Arial" w:cs="Arial"/>
          <w:sz w:val="24"/>
          <w:szCs w:val="24"/>
        </w:rPr>
      </w:pPr>
      <w:r w:rsidRPr="2030048C">
        <w:rPr>
          <w:rFonts w:ascii="Arial" w:eastAsia="Arial" w:hAnsi="Arial" w:cs="Arial"/>
          <w:sz w:val="24"/>
          <w:szCs w:val="24"/>
        </w:rPr>
        <w:t>These activities provide opportunities for students to receive constructive feedback from tutors, peers and expert colleagues in different professional settings and enable individuals to identify their own areas for further development.</w:t>
      </w:r>
    </w:p>
    <w:p w:rsidRPr="2030048C" w:rsidP="2030048C">
      <w:pPr>
        <w:rPr>
          <w:rFonts w:ascii="Arial" w:eastAsia="Arial" w:hAnsi="Arial" w:cs="Arial"/>
          <w:sz w:val="24"/>
          <w:szCs w:val="24"/>
        </w:rPr>
      </w:pPr>
      <w:r w:rsidRPr="2030048C">
        <w:rPr>
          <w:rFonts w:ascii="Arial" w:eastAsia="Arial" w:hAnsi="Arial" w:cs="Arial"/>
          <w:sz w:val="24"/>
          <w:szCs w:val="24"/>
        </w:rPr>
        <w:t>Summative assessment is solely through coursework and assignments rather than examinations. It is vital that students show their ability to use knowledge generated through research-based literature and personal reflection to inform their practice. It is considered that this is best demonstrated through accurate and wide referencing to both academic resources and professional practice.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tasks provide students with the opportunity to demonstrate their knowledge against the module learning outcomes, but the mode of assessment also enables students to develop skills essential for effective professional practice. The summative assessment tasks are specifically designed to replicate elements of practice expected of a qualified teacher and include, written reports, planning, digital technology applications, communications and presentations. All summative assessments are criteria referenced. The university grade descriptors (AG07) are applied to grade students’ work and to provide them with developmental feedback.</w:t>
      </w:r>
    </w:p>
    <w:p w:rsidRPr="2030048C" w:rsidP="2030048C">
      <w:pPr>
        <w:rPr>
          <w:rFonts w:ascii="Arial" w:eastAsia="Arial" w:hAnsi="Arial" w:cs="Arial"/>
          <w:sz w:val="24"/>
          <w:szCs w:val="24"/>
        </w:rPr>
      </w:pPr>
      <w:r w:rsidRPr="2030048C">
        <w:rPr>
          <w:rFonts w:ascii="Arial" w:eastAsia="Arial" w:hAnsi="Arial" w:cs="Arial"/>
          <w:sz w:val="24"/>
          <w:szCs w:val="24"/>
        </w:rPr>
        <w:t>During the first module in year 1, there is what is known as a ‘low stakes’ assignment. This is an opportunity for students starting at university to submit a short essay worth 20% of the whole module grade. The task provides students with an opportunity to ‘have a go’ at submitting a written paper and to receive detailed feedback from their tutors. It also enables tutors to ensure that students have appropriate knowledge and understanding before they go into school for the first time and indicates where academic support might be beneficial.  This activity has been in place for some years and was adopted as a feature of good practice across all Kingston University’s programmes following very positive feedback from students. Students welcome the opportunity to discuss and plan for personalised support as they start their academic studies.</w:t>
      </w:r>
    </w:p>
    <w:p w:rsidRPr="2030048C" w:rsidP="2030048C">
      <w:pPr>
        <w:rPr>
          <w:rFonts w:ascii="Arial" w:eastAsia="Arial" w:hAnsi="Arial" w:cs="Arial"/>
          <w:sz w:val="24"/>
          <w:szCs w:val="24"/>
        </w:rPr>
      </w:pPr>
      <w:r w:rsidRPr="2030048C">
        <w:rPr>
          <w:rFonts w:ascii="Arial" w:eastAsia="Arial" w:hAnsi="Arial" w:cs="Arial"/>
          <w:sz w:val="24"/>
          <w:szCs w:val="24"/>
        </w:rPr>
        <w:t>Towards the end of the three-year programme, there is a final ‘capstone’ assignment. This takes the form of a portfolio of professional practice and a profile of Teachers’ Standards, which draws together subject knowledge and understanding accumulated through professional practice placements. This portfolio is progressively built through the formative and summative tasks integrated into the course and leads to the final completion of the programme. The capstone does not simply reflect theoretical understandings and practical applications but considers all the qualities required of a teacher in meeting the professional standards. The capstone leads to the recommendation for Qualified Teacher Status and ensures that Kingston University graduates can compete successfully for teaching posts.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At Kingston University student wellbeing is very important. The course is designed to support students in developing a balanced approach to their studies. Personal tutors are carefully assigned to address the academic and pastoral needs of students and to meet with their tutees on a regular basis, in line with the Kingston University Personal Tutor Scheme. </w:t>
      </w:r>
    </w:p>
    <w:p w:rsidRPr="2030048C" w:rsidP="2030048C">
      <w:pPr>
        <w:rPr>
          <w:rFonts w:ascii="Arial" w:eastAsia="Arial" w:hAnsi="Arial" w:cs="Arial"/>
          <w:sz w:val="24"/>
          <w:szCs w:val="24"/>
        </w:rPr>
      </w:pPr>
      <w:r w:rsidRPr="2030048C">
        <w:rPr>
          <w:rFonts w:ascii="Arial" w:eastAsia="Arial" w:hAnsi="Arial" w:cs="Arial"/>
          <w:sz w:val="22"/>
          <w:szCs w:val="22"/>
        </w:rPr>
        <w:t xml:space="preserve">Taught sessions are designed to support progression in learning through both whole cohort and more frequently, group sessions, which enables tutors to know their students well. Part of a tutor’s role is to advise and guide students through the employment process towards the end of the course, from their application for a teacher’s position, to the interview and beyond. </w:t>
      </w:r>
    </w:p>
    <w:p w:rsidRPr="2030048C" w:rsidP="2030048C">
      <w:pPr>
        <w:rPr>
          <w:rFonts w:ascii="Arial" w:eastAsia="Arial" w:hAnsi="Arial" w:cs="Arial"/>
          <w:sz w:val="24"/>
          <w:szCs w:val="24"/>
        </w:rPr>
      </w:pPr>
      <w:r w:rsidRPr="2030048C">
        <w:rPr>
          <w:rFonts w:ascii="Arial" w:eastAsia="Arial" w:hAnsi="Arial" w:cs="Arial"/>
          <w:sz w:val="22"/>
          <w:szCs w:val="22"/>
        </w:rPr>
        <w:t xml:space="preserve">During the course students are allocated a University Liaison Tutor (ULT) and a School Based Mentor (SBM) to support their professional development whilst on placements. These are expert colleagues who provide advice and guidance as students apply their knowledge and understanding in the classroom and wider school community. The relationships between the student, SBM and ULT enable strong, trusting and positive partnerships to develop. The KU Department of Education has a strong Alumni network and students on professional placements are frequently mentored by former students of the programme, further enhancing the very positive professional networks that have developed over many years. </w:t>
      </w:r>
    </w:p>
    <w:p w:rsidRPr="2030048C" w:rsidP="2030048C">
      <w:pPr>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 xml:space="preserve">timetabled tutorials with Personal Tutors in each year of the programme. The Personal Tutor is identified to students from the outset as their first point of contact.  This enables each Personal Tutor to monitor and intervene, where appropriate or, if problems or unexpected outcomes arise, to provide appropriate support.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Personal Tutors and the Course Leader that meet on a regular basis to discuss student progress in order to maintain an overview and to provide consistency of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selecting student representatives for the Staff Student Consultative Committee, where good practice and issues of concern can be raised and discussed.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 xml:space="preserve">an assigned course administrator who advises on course issues such as timetables.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 virtual learning environment called Canvas, where all course materials and links to support services are located.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assessment criteria available from the beginning of modules and support for assignments inter-woven into teaching and learning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criterion-referenced assignment feedback and opportunities to discuss feedback with tutors.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additional study support sessions timetabled to compliment assignment submission dates.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detailed assignment guidance on Canvas.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evaluation </w:t>
      </w:r>
      <w:r w:rsidRPr="2030048C">
        <w:rPr>
          <w:rFonts w:ascii="Arial" w:eastAsia="Arial" w:hAnsi="Arial" w:cs="Arial"/>
          <w:sz w:val="24"/>
          <w:szCs w:val="24"/>
        </w:rPr>
        <w:t>including Module Evaluation Questionnaire (MEQs), level surveys, Kingston Student Survey (KSS) and the National Student Survey (NSS)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KSS and NSS surveys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2"/>
          <w:szCs w:val="22"/>
        </w:rPr>
        <w:t>Professional practice partners</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In addition</w:t>
      </w:r>
      <w:r w:rsidRPr="2030048C">
        <w:rPr>
          <w:rFonts w:ascii="Arial" w:eastAsia="Arial" w:hAnsi="Arial" w:cs="Arial"/>
          <w:sz w:val="24"/>
          <w:szCs w:val="24"/>
        </w:rPr>
        <w:t>,</w:t>
      </w:r>
      <w:r w:rsidRPr="2030048C">
        <w:rPr>
          <w:rFonts w:ascii="Arial" w:eastAsia="Arial" w:hAnsi="Arial" w:cs="Arial"/>
          <w:sz w:val="24"/>
          <w:szCs w:val="24"/>
        </w:rPr>
        <w:t xml:space="preserve"> the </w:t>
      </w:r>
      <w:r w:rsidRPr="2030048C">
        <w:rPr>
          <w:rFonts w:ascii="Arial" w:eastAsia="Arial" w:hAnsi="Arial" w:cs="Arial"/>
          <w:sz w:val="24"/>
          <w:szCs w:val="24"/>
        </w:rPr>
        <w:t>Department</w:t>
      </w:r>
      <w:r w:rsidRPr="2030048C">
        <w:rPr>
          <w:rFonts w:ascii="Arial" w:eastAsia="Arial" w:hAnsi="Arial" w:cs="Arial"/>
          <w:sz w:val="24"/>
          <w:szCs w:val="24"/>
        </w:rPr>
        <w:t xml:space="preserve"> of Education is inspected by the Office for Standards in Education</w:t>
      </w:r>
      <w:r w:rsidRPr="2030048C">
        <w:rPr>
          <w:rFonts w:ascii="Arial" w:eastAsia="Arial" w:hAnsi="Arial" w:cs="Arial"/>
          <w:sz w:val="24"/>
          <w:szCs w:val="24"/>
        </w:rPr>
        <w:t xml:space="preserve"> (Ofsted)</w:t>
      </w:r>
      <w:r w:rsidRPr="2030048C">
        <w:rPr>
          <w:rFonts w:ascii="Arial" w:eastAsia="Arial" w:hAnsi="Arial" w:cs="Arial"/>
          <w:sz w:val="24"/>
          <w:szCs w:val="24"/>
        </w:rPr>
        <w:t>.</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4"/>
        <w:gridCol w:w="244"/>
        <w:gridCol w:w="634"/>
        <w:gridCol w:w="634"/>
        <w:gridCol w:w="634"/>
        <w:gridCol w:w="632"/>
        <w:gridCol w:w="2"/>
        <w:gridCol w:w="634"/>
        <w:gridCol w:w="634"/>
        <w:gridCol w:w="634"/>
        <w:gridCol w:w="630"/>
        <w:gridCol w:w="4"/>
        <w:gridCol w:w="634"/>
        <w:gridCol w:w="634"/>
        <w:gridCol w:w="634"/>
        <w:gridCol w:w="6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0D0E517-0EB4-4991-A633-CFD731BA22B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