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Structural Design and Construction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18/06/2025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01/09/2024</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Built Environment and Geography</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Civil Engineering, Surveying and Construction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ESOFT</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Structural Design and Construction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Structural Design and Construction Management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Structural Design and Construction Management</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NAEKUDH3F (full-time) NAEKUDH4S (sandwich)</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Structural Design and Construction Management with Sustainability</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Structural Design and Construction Management with Sustainability</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Structural Design and Construction Management with Sustainability</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ESOFT Metro Campus (Katubedda), Sri Lanka (ECET)</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 for the programme is a good honours degree (not less than 2.2) or academic equivalent in a construction related discipline, and/or suitable industrial experience.  The requirement of an honours degree may be waived for exceptional applicants with substantial industrial experience in related subject areas. Overseas students are required to satisfy the Admissions Officer that they have reached an equivalent academic standard as those required for home students.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jc w:val="both"/>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 minimum International English Language Testing System (IELTS) score of 6.5</w:t>
            </w:r>
            <w:r w:rsidRPr="2030048C">
              <w:rPr>
                <w:rStyle w:val="normaltextrun"/>
                <w:rFonts w:ascii="Arial" w:eastAsia="Arial" w:hAnsi="Arial" w:cs="Arial"/>
                <w:b w:val="0"/>
                <w:bCs w:val="0"/>
                <w:color w:val="000000"/>
                <w:sz w:val="22"/>
                <w:szCs w:val="22"/>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overall with 6.0 in Writing and 5.5 in Reading, Listening and Speaking or equivalent is required for those for whom English is not their first language.</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Non-accredited course</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360" w:right="0"/>
              <w:rPr>
                <w:rStyle w:val="normaltextrun"/>
                <w:rFonts w:ascii="Arial" w:eastAsia="Arial" w:hAnsi="Arial" w:cs="Arial"/>
                <w:b w:val="0"/>
                <w:bCs w:val="0"/>
                <w:color w:val="FF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jc w:val="both"/>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Calibri" w:eastAsia="Calibri" w:hAnsi="Calibri" w:cs="Calibri"/>
                <w:b/>
                <w:bCs/>
                <w:color w:val="000000" w:themeColor="text1" w:themeShade="FF" w:themeTint="FF"/>
                <w:sz w:val="22"/>
                <w:szCs w:val="22"/>
              </w:rPr>
              <w:t>Compensation</w:t>
            </w:r>
          </w:p>
          <w:p w:rsidR="5D711985" w:rsidRPr="158602C4" w:rsidP="158602C4">
            <w:pPr>
              <w:pStyle w:val="p"/>
              <w:shd w:val="clear" w:color="auto" w:fill="FFFFFE"/>
              <w:spacing w:before="0" w:beforeAutospacing="0" w:after="0" w:afterAutospacing="0" w:line="285" w:lineRule="auto"/>
              <w:ind w:left="0" w:right="0"/>
              <w:jc w:val="both"/>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Calibri" w:eastAsia="Calibri" w:hAnsi="Calibri" w:cs="Calibri"/>
                <w:b w:val="0"/>
                <w:bCs w:val="0"/>
                <w:color w:val="000000" w:themeColor="text1" w:themeShade="FF" w:themeTint="FF"/>
                <w:sz w:val="22"/>
                <w:szCs w:val="22"/>
              </w:rPr>
              <w:t xml:space="preserve">Compensation is </w:t>
            </w:r>
            <w:r w:rsidRPr="158602C4">
              <w:rPr>
                <w:rStyle w:val="normaltextrun"/>
                <w:rFonts w:ascii="Calibri" w:eastAsia="Calibri" w:hAnsi="Calibri" w:cs="Calibri"/>
                <w:b w:val="0"/>
                <w:bCs w:val="0"/>
                <w:color w:val="000000" w:themeColor="text1" w:themeShade="FF" w:themeTint="FF"/>
                <w:sz w:val="22"/>
                <w:szCs w:val="22"/>
                <w:u w:val="single"/>
              </w:rPr>
              <w:t>not permitted</w:t>
            </w:r>
            <w:r w:rsidRPr="158602C4">
              <w:rPr>
                <w:rStyle w:val="normaltextrun"/>
                <w:rFonts w:ascii="Calibri" w:eastAsia="Calibri" w:hAnsi="Calibri" w:cs="Calibri"/>
                <w:b w:val="0"/>
                <w:bCs w:val="0"/>
                <w:color w:val="000000" w:themeColor="text1" w:themeShade="FF" w:themeTint="FF"/>
                <w:sz w:val="22"/>
                <w:szCs w:val="22"/>
              </w:rPr>
              <w:t xml:space="preserve"> for the following modules:</w:t>
            </w:r>
          </w:p>
          <w:p w:rsidR="5D711985" w:rsidRPr="158602C4" w:rsidP="158602C4">
            <w:pPr>
              <w:pStyle w:val="p"/>
              <w:shd w:val="clear" w:color="auto" w:fill="FFFFFE"/>
              <w:spacing w:before="0" w:beforeAutospacing="0" w:after="0" w:afterAutospacing="0" w:line="285" w:lineRule="auto"/>
              <w:ind w:left="0" w:right="0"/>
              <w:jc w:val="both"/>
              <w:rPr>
                <w:rStyle w:val="normaltextrun"/>
                <w:rFonts w:ascii="Calibri" w:eastAsia="Calibri" w:hAnsi="Calibri" w:cs="Calibri"/>
                <w:b w:val="0"/>
                <w:bCs w:val="0"/>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jc w:val="both"/>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Calibri" w:eastAsia="Calibri" w:hAnsi="Calibri" w:cs="Calibri"/>
                <w:b w:val="0"/>
                <w:bCs w:val="0"/>
                <w:color w:val="000000" w:themeColor="text1" w:themeShade="FF" w:themeTint="FF"/>
                <w:sz w:val="22"/>
                <w:szCs w:val="22"/>
              </w:rPr>
              <w:t>AE6024</w:t>
            </w:r>
            <w:r w:rsidRPr="158602C4">
              <w:rPr>
                <w:rStyle w:val="normaltextrun"/>
                <w:rFonts w:ascii="Times New Roman" w:eastAsia="Times New Roman" w:hAnsi="Times New Roman" w:cs="Times New Roman"/>
                <w:b w:val="0"/>
                <w:bCs w:val="0"/>
                <w:color w:val="000000" w:themeColor="text1" w:themeShade="FF" w:themeTint="FF"/>
                <w:sz w:val="22"/>
                <w:szCs w:val="22"/>
              </w:rPr>
              <w:tab/>
            </w:r>
            <w:r w:rsidRPr="158602C4">
              <w:rPr>
                <w:rStyle w:val="normaltextrun"/>
                <w:rFonts w:ascii="Calibri" w:eastAsia="Calibri" w:hAnsi="Calibri" w:cs="Calibri"/>
                <w:b w:val="0"/>
                <w:bCs w:val="0"/>
                <w:color w:val="000000" w:themeColor="text1" w:themeShade="FF" w:themeTint="FF"/>
                <w:sz w:val="22"/>
                <w:szCs w:val="22"/>
              </w:rPr>
              <w:t>Individual Project (CEng)</w:t>
            </w:r>
            <w:bookmarkStart w:id="0" w:name="_Toc466207437"/>
          </w:p>
          <w:p w:rsidR="5D711985" w:rsidRPr="158602C4" w:rsidP="158602C4">
            <w:pPr>
              <w:pStyle w:val="p"/>
              <w:shd w:val="clear" w:color="auto" w:fill="FFFFFE"/>
              <w:spacing w:before="0" w:beforeAutospacing="0" w:after="0" w:afterAutospacing="0" w:line="285" w:lineRule="auto"/>
              <w:ind w:left="0" w:right="0"/>
              <w:jc w:val="both"/>
              <w:rPr>
                <w:rStyle w:val="normaltextrun"/>
                <w:rFonts w:ascii="Calibri" w:eastAsia="Calibri" w:hAnsi="Calibri" w:cs="Calibri"/>
                <w:b w:val="0"/>
                <w:bCs w:val="0"/>
                <w:color w:val="000000" w:themeColor="text1" w:themeShade="FF" w:themeTint="FF"/>
                <w:sz w:val="22"/>
                <w:szCs w:val="22"/>
              </w:rPr>
            </w:pPr>
          </w:p>
          <w:p w:rsidR="5D711985" w:rsidRPr="158602C4" w:rsidP="158602C4">
            <w:pPr>
              <w:pStyle w:val="p"/>
              <w:shd w:val="clear" w:color="auto" w:fill="FFFFFE"/>
              <w:spacing w:before="0" w:beforeAutospacing="0" w:after="0" w:afterAutospacing="0" w:line="285" w:lineRule="auto"/>
              <w:ind w:left="0" w:right="0"/>
              <w:jc w:val="both"/>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Calibri" w:eastAsia="Calibri" w:hAnsi="Calibri" w:cs="Calibri"/>
                <w:b/>
                <w:bCs/>
                <w:color w:val="000000" w:themeColor="text1" w:themeShade="FF" w:themeTint="FF"/>
                <w:sz w:val="22"/>
                <w:szCs w:val="22"/>
              </w:rPr>
              <w:t xml:space="preserve">Reassessment of Level 6 </w:t>
            </w:r>
            <w:bookmarkEnd w:id="0"/>
            <w:r w:rsidRPr="158602C4">
              <w:rPr>
                <w:rStyle w:val="normaltextrun"/>
                <w:rFonts w:ascii="Calibri" w:eastAsia="Calibri" w:hAnsi="Calibri" w:cs="Calibri"/>
                <w:b/>
                <w:bCs/>
                <w:color w:val="000000" w:themeColor="text1" w:themeShade="FF" w:themeTint="FF"/>
                <w:sz w:val="22"/>
                <w:szCs w:val="22"/>
              </w:rPr>
              <w:t>modules</w:t>
            </w:r>
          </w:p>
          <w:p w:rsidR="5D711985" w:rsidRPr="158602C4" w:rsidP="158602C4">
            <w:pPr>
              <w:pStyle w:val="p"/>
              <w:shd w:val="clear" w:color="auto" w:fill="FFFFFE"/>
              <w:spacing w:before="0" w:beforeAutospacing="0" w:after="0" w:afterAutospacing="0" w:line="285" w:lineRule="auto"/>
              <w:ind w:left="0" w:right="0"/>
              <w:jc w:val="both"/>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Calibri" w:eastAsia="Calibri" w:hAnsi="Calibri" w:cs="Calibri"/>
                <w:b w:val="0"/>
                <w:bCs w:val="0"/>
                <w:color w:val="000000" w:themeColor="text1" w:themeShade="FF" w:themeTint="FF"/>
                <w:sz w:val="22"/>
                <w:szCs w:val="22"/>
              </w:rPr>
              <w:t xml:space="preserve">Reassessment of AE6024, will normally be by </w:t>
            </w:r>
            <w:r w:rsidRPr="158602C4">
              <w:rPr>
                <w:rStyle w:val="normaltextrun"/>
                <w:rFonts w:ascii="Calibri" w:eastAsia="Calibri" w:hAnsi="Calibri" w:cs="Calibri"/>
                <w:b w:val="0"/>
                <w:bCs w:val="0"/>
                <w:color w:val="000000" w:themeColor="text1" w:themeShade="FF" w:themeTint="FF"/>
                <w:sz w:val="22"/>
                <w:szCs w:val="22"/>
                <w:u w:val="single"/>
              </w:rPr>
              <w:t>repeat</w:t>
            </w:r>
            <w:r w:rsidRPr="158602C4">
              <w:rPr>
                <w:rStyle w:val="normaltextrun"/>
                <w:rFonts w:ascii="Calibri" w:eastAsia="Calibri" w:hAnsi="Calibri" w:cs="Calibri"/>
                <w:b w:val="0"/>
                <w:bCs w:val="0"/>
                <w:color w:val="000000" w:themeColor="text1" w:themeShade="FF" w:themeTint="FF"/>
                <w:sz w:val="22"/>
                <w:szCs w:val="22"/>
              </w:rPr>
              <w:t xml:space="preserve"> only with a new project brief. </w:t>
            </w:r>
          </w:p>
          <w:p w:rsidR="5D711985" w:rsidRPr="158602C4" w:rsidP="158602C4">
            <w:pPr>
              <w:pStyle w:val="p"/>
              <w:shd w:val="clear" w:color="auto" w:fill="FFFFFE"/>
              <w:spacing w:before="0" w:beforeAutospacing="0" w:after="0" w:afterAutospacing="0" w:line="285" w:lineRule="auto"/>
              <w:ind w:left="0" w:right="0"/>
              <w:rPr>
                <w:rStyle w:val="normaltextrun"/>
                <w:rFonts w:ascii="Arial" w:eastAsia="Arial" w:hAnsi="Arial" w:cs="Arial"/>
                <w:b/>
                <w:bCs/>
                <w:color w:val="000000" w:themeColor="text1" w:themeShade="FF" w:themeTint="FF"/>
                <w:sz w:val="22"/>
                <w:szCs w:val="22"/>
              </w:rPr>
            </w:pP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 xml:space="preserve">Produce graduates with a detailed advanced knowledge and understanding of </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tr</w:t>
      </w:r>
      <w:r w:rsidRPr="2030048C">
        <w:rPr>
          <w:rStyle w:val="normaltextrun"/>
          <w:rFonts w:ascii="Arial" w:hAnsi="Arial" w:cs="Arial"/>
          <w:color w:val="000000" w:themeColor="text1"/>
          <w:sz w:val="24"/>
          <w:szCs w:val="24"/>
          <w:shd w:val="clear" w:color="auto" w:fill="FFFFFF"/>
        </w:rPr>
        <w:t>u</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ural d</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g</w:t>
      </w:r>
      <w:r w:rsidRPr="2030048C">
        <w:rPr>
          <w:rStyle w:val="normaltextrun"/>
          <w:rFonts w:ascii="Arial" w:hAnsi="Arial" w:cs="Arial"/>
          <w:color w:val="000000" w:themeColor="text1"/>
          <w:sz w:val="24"/>
          <w:szCs w:val="24"/>
          <w:shd w:val="clear" w:color="auto" w:fill="FFFFFF"/>
        </w:rPr>
        <w:t>n 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 xml:space="preserve">d </w:t>
      </w:r>
      <w:r w:rsidRPr="2030048C">
        <w:rPr>
          <w:rStyle w:val="normaltextrun"/>
          <w:rFonts w:ascii="Arial" w:hAnsi="Arial" w:cs="Arial"/>
          <w:color w:val="000000"/>
          <w:sz w:val="24"/>
          <w:szCs w:val="24"/>
          <w:shd w:val="clear" w:color="auto" w:fill="FFFFFF"/>
        </w:rPr>
        <w:t>management practices and procedures relating to the successful delivery construction projects.</w:t>
      </w:r>
    </w:p>
    <w:p w:rsidRPr="2030048C" w:rsidP="2030048C">
      <w:pPr>
        <w:pStyle w:val="ListParagraph"/>
        <w:ind w:left="855"/>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4"/>
          <w:szCs w:val="24"/>
          <w:shd w:val="clear" w:color="auto" w:fill="FFFFFF"/>
        </w:rPr>
        <w:t>Allow</w:t>
      </w:r>
      <w:r w:rsidRPr="2030048C">
        <w:rPr>
          <w:rStyle w:val="normaltextrun"/>
          <w:rFonts w:ascii="Arial" w:hAnsi="Arial" w:cs="Arial"/>
          <w:color w:val="000000" w:themeColor="text1"/>
          <w:sz w:val="22"/>
          <w:szCs w:val="22"/>
          <w:shd w:val="clear" w:color="auto" w:fill="FFFFFF"/>
        </w:rPr>
        <w:t xml:space="preserve"> </w:t>
      </w:r>
      <w:r w:rsidRPr="2030048C">
        <w:rPr>
          <w:rStyle w:val="normaltextrun"/>
          <w:rFonts w:ascii="Arial" w:hAnsi="Arial" w:cs="Arial"/>
          <w:color w:val="000000" w:themeColor="text1"/>
          <w:sz w:val="24"/>
          <w:szCs w:val="24"/>
          <w:shd w:val="clear" w:color="auto" w:fill="FFFFFF"/>
        </w:rPr>
        <w:t>g</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u</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 xml:space="preserve">es </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 xml:space="preserve">o </w:t>
      </w:r>
      <w:r w:rsidRPr="2030048C">
        <w:rPr>
          <w:rStyle w:val="normaltextrun"/>
          <w:rFonts w:ascii="Arial" w:hAnsi="Arial" w:cs="Arial"/>
          <w:color w:val="000000" w:themeColor="text1"/>
          <w:sz w:val="24"/>
          <w:szCs w:val="24"/>
          <w:shd w:val="clear" w:color="auto" w:fill="FFFFFF"/>
        </w:rPr>
        <w:t>ac</w:t>
      </w:r>
      <w:r w:rsidRPr="2030048C">
        <w:rPr>
          <w:rStyle w:val="normaltextrun"/>
          <w:rFonts w:ascii="Arial" w:hAnsi="Arial" w:cs="Arial"/>
          <w:color w:val="000000" w:themeColor="text1"/>
          <w:sz w:val="24"/>
          <w:szCs w:val="24"/>
          <w:shd w:val="clear" w:color="auto" w:fill="FFFFFF"/>
        </w:rPr>
        <w:t>q</w:t>
      </w:r>
      <w:r w:rsidRPr="2030048C">
        <w:rPr>
          <w:rStyle w:val="normaltextrun"/>
          <w:rFonts w:ascii="Arial" w:hAnsi="Arial" w:cs="Arial"/>
          <w:color w:val="000000" w:themeColor="text1"/>
          <w:sz w:val="24"/>
          <w:szCs w:val="24"/>
          <w:shd w:val="clear" w:color="auto" w:fill="FFFFFF"/>
        </w:rPr>
        <w:t>u</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e i</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so</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l</w:t>
      </w:r>
      <w:r w:rsidRPr="2030048C">
        <w:rPr>
          <w:rStyle w:val="normaltextrun"/>
          <w:rFonts w:ascii="Arial" w:hAnsi="Arial" w:cs="Arial"/>
          <w:color w:val="000000"/>
          <w:sz w:val="24"/>
          <w:szCs w:val="24"/>
          <w:shd w:val="clear" w:color="auto" w:fill="FFFFFF"/>
        </w:rPr>
        <w:t xml:space="preserve"> design thinking, system thinking complex problem-solving, business and subject-specific skills and the ability to analyse, evaluate, judge and critically </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f</w:t>
      </w:r>
      <w:r w:rsidRPr="2030048C">
        <w:rPr>
          <w:rStyle w:val="normaltextrun"/>
          <w:rFonts w:ascii="Arial" w:hAnsi="Arial" w:cs="Arial"/>
          <w:color w:val="000000" w:themeColor="text1"/>
          <w:sz w:val="24"/>
          <w:szCs w:val="24"/>
          <w:shd w:val="clear" w:color="auto" w:fill="FFFFFF"/>
        </w:rPr>
        <w:t>l</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 xml:space="preserve">t </w:t>
      </w:r>
      <w:r w:rsidRPr="2030048C">
        <w:rPr>
          <w:rStyle w:val="normaltextrun"/>
          <w:rFonts w:ascii="Arial" w:hAnsi="Arial" w:cs="Arial"/>
          <w:color w:val="000000" w:themeColor="text1"/>
          <w:sz w:val="24"/>
          <w:szCs w:val="24"/>
          <w:shd w:val="clear" w:color="auto" w:fill="FFFFFF"/>
        </w:rPr>
        <w:t>u</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n iss</w:t>
      </w:r>
      <w:r w:rsidRPr="2030048C">
        <w:rPr>
          <w:rStyle w:val="normaltextrun"/>
          <w:rFonts w:ascii="Arial" w:hAnsi="Arial" w:cs="Arial"/>
          <w:color w:val="000000" w:themeColor="text1"/>
          <w:sz w:val="24"/>
          <w:szCs w:val="24"/>
          <w:shd w:val="clear" w:color="auto" w:fill="FFFFFF"/>
        </w:rPr>
        <w:t>u</w:t>
      </w:r>
      <w:r w:rsidRPr="2030048C">
        <w:rPr>
          <w:rStyle w:val="normaltextrun"/>
          <w:rFonts w:ascii="Arial" w:hAnsi="Arial" w:cs="Arial"/>
          <w:color w:val="000000" w:themeColor="text1"/>
          <w:sz w:val="24"/>
          <w:szCs w:val="24"/>
          <w:shd w:val="clear" w:color="auto" w:fill="FFFFFF"/>
        </w:rPr>
        <w:t>es in those areas.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855" w:right="21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v</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l</w:t>
      </w:r>
      <w:r w:rsidRPr="2030048C">
        <w:rPr>
          <w:rStyle w:val="normaltextrun"/>
          <w:rFonts w:ascii="Arial" w:hAnsi="Arial" w:cs="Arial"/>
          <w:color w:val="000000" w:themeColor="text1"/>
          <w:sz w:val="24"/>
          <w:szCs w:val="24"/>
          <w:shd w:val="clear" w:color="auto" w:fill="FFFFFF"/>
        </w:rPr>
        <w:t xml:space="preserve">op </w:t>
      </w:r>
      <w:r w:rsidRPr="2030048C">
        <w:rPr>
          <w:rStyle w:val="normaltextrun"/>
          <w:rFonts w:ascii="Arial" w:hAnsi="Arial" w:cs="Arial"/>
          <w:color w:val="000000" w:themeColor="text1"/>
          <w:sz w:val="24"/>
          <w:szCs w:val="24"/>
          <w:shd w:val="clear" w:color="auto" w:fill="FFFFFF"/>
        </w:rPr>
        <w:t>g</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u</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 xml:space="preserve">es </w:t>
      </w:r>
      <w:r w:rsidRPr="2030048C">
        <w:rPr>
          <w:rStyle w:val="normaltextrun"/>
          <w:rFonts w:ascii="Arial" w:hAnsi="Arial" w:cs="Arial"/>
          <w:color w:val="000000" w:themeColor="text1"/>
          <w:sz w:val="24"/>
          <w:szCs w:val="24"/>
          <w:shd w:val="clear" w:color="auto" w:fill="FFFFFF"/>
        </w:rPr>
        <w:t>w</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 xml:space="preserve">h </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es</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arch 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 xml:space="preserve">d </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v</w:t>
      </w:r>
      <w:r w:rsidRPr="2030048C">
        <w:rPr>
          <w:rStyle w:val="normaltextrun"/>
          <w:rFonts w:ascii="Arial" w:hAnsi="Arial" w:cs="Arial"/>
          <w:color w:val="000000" w:themeColor="text1"/>
          <w:sz w:val="24"/>
          <w:szCs w:val="24"/>
          <w:shd w:val="clear" w:color="auto" w:fill="FFFFFF"/>
        </w:rPr>
        <w:t>esti</w:t>
      </w:r>
      <w:r w:rsidRPr="2030048C">
        <w:rPr>
          <w:rStyle w:val="normaltextrun"/>
          <w:rFonts w:ascii="Arial" w:hAnsi="Arial" w:cs="Arial"/>
          <w:color w:val="000000" w:themeColor="text1"/>
          <w:sz w:val="24"/>
          <w:szCs w:val="24"/>
          <w:shd w:val="clear" w:color="auto" w:fill="FFFFFF"/>
        </w:rPr>
        <w:t>g</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 xml:space="preserve">ve </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k</w:t>
      </w:r>
      <w:r w:rsidRPr="2030048C">
        <w:rPr>
          <w:rStyle w:val="normaltextrun"/>
          <w:rFonts w:ascii="Arial" w:hAnsi="Arial" w:cs="Arial"/>
          <w:color w:val="000000" w:themeColor="text1"/>
          <w:sz w:val="24"/>
          <w:szCs w:val="24"/>
          <w:shd w:val="clear" w:color="auto" w:fill="FFFFFF"/>
        </w:rPr>
        <w:t>ill</w:t>
      </w:r>
      <w:r w:rsidRPr="2030048C">
        <w:rPr>
          <w:rStyle w:val="normaltextrun"/>
          <w:rFonts w:ascii="Arial" w:hAnsi="Arial" w:cs="Arial"/>
          <w:color w:val="000000" w:themeColor="text1"/>
          <w:sz w:val="24"/>
          <w:szCs w:val="24"/>
          <w:shd w:val="clear" w:color="auto" w:fill="FFFFFF"/>
        </w:rPr>
        <w:t>s 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d a c</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cal 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 xml:space="preserve">d </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es</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arc</w:t>
      </w:r>
      <w:r w:rsidRPr="2030048C">
        <w:rPr>
          <w:rStyle w:val="normaltextrun"/>
          <w:rFonts w:ascii="Arial" w:hAnsi="Arial" w:cs="Arial"/>
          <w:color w:val="000000" w:themeColor="text1"/>
          <w:sz w:val="24"/>
          <w:szCs w:val="24"/>
          <w:shd w:val="clear" w:color="auto" w:fill="FFFFFF"/>
        </w:rPr>
        <w:t>h</w:t>
      </w:r>
      <w:r w:rsidRPr="2030048C">
        <w:rPr>
          <w:rStyle w:val="normaltextrun"/>
          <w:rFonts w:ascii="Arial" w:hAnsi="Arial" w:cs="Arial"/>
          <w:color w:val="000000" w:themeColor="text1"/>
          <w:sz w:val="24"/>
          <w:szCs w:val="24"/>
          <w:shd w:val="clear" w:color="auto" w:fill="FFFFFF"/>
        </w:rPr>
        <w:t>- ori</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nted a</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 xml:space="preserve">ch </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 xml:space="preserve">o </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he s</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u</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 xml:space="preserve">y </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f s</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uct</w:t>
      </w:r>
      <w:r w:rsidRPr="2030048C">
        <w:rPr>
          <w:rStyle w:val="normaltextrun"/>
          <w:rFonts w:ascii="Arial" w:hAnsi="Arial" w:cs="Arial"/>
          <w:color w:val="000000" w:themeColor="text1"/>
          <w:sz w:val="24"/>
          <w:szCs w:val="24"/>
          <w:shd w:val="clear" w:color="auto" w:fill="FFFFFF"/>
        </w:rPr>
        <w:t>u</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al d</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g</w:t>
      </w:r>
      <w:r w:rsidRPr="2030048C">
        <w:rPr>
          <w:rStyle w:val="normaltextrun"/>
          <w:rFonts w:ascii="Arial" w:hAnsi="Arial" w:cs="Arial"/>
          <w:color w:val="000000" w:themeColor="text1"/>
          <w:sz w:val="24"/>
          <w:szCs w:val="24"/>
          <w:shd w:val="clear" w:color="auto" w:fill="FFFFFF"/>
        </w:rPr>
        <w:t>n 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d con</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tr</w:t>
      </w:r>
      <w:r w:rsidRPr="2030048C">
        <w:rPr>
          <w:rStyle w:val="normaltextrun"/>
          <w:rFonts w:ascii="Arial" w:hAnsi="Arial" w:cs="Arial"/>
          <w:color w:val="000000" w:themeColor="text1"/>
          <w:sz w:val="24"/>
          <w:szCs w:val="24"/>
          <w:shd w:val="clear" w:color="auto" w:fill="FFFFFF"/>
        </w:rPr>
        <w:t>u</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 xml:space="preserve">on </w:t>
      </w:r>
      <w:r w:rsidRPr="2030048C">
        <w:rPr>
          <w:rStyle w:val="normaltextrun"/>
          <w:rFonts w:ascii="Arial" w:hAnsi="Arial" w:cs="Arial"/>
          <w:color w:val="000000" w:themeColor="text1"/>
          <w:sz w:val="24"/>
          <w:szCs w:val="24"/>
          <w:shd w:val="clear" w:color="auto" w:fill="FFFFFF"/>
        </w:rPr>
        <w:t>m</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g</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m</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855" w:right="285"/>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v</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 xml:space="preserve">de </w:t>
      </w:r>
      <w:r w:rsidRPr="2030048C">
        <w:rPr>
          <w:rStyle w:val="normaltextrun"/>
          <w:rFonts w:ascii="Arial" w:hAnsi="Arial" w:cs="Arial"/>
          <w:color w:val="000000" w:themeColor="text1"/>
          <w:sz w:val="24"/>
          <w:szCs w:val="24"/>
          <w:shd w:val="clear" w:color="auto" w:fill="FFFFFF"/>
        </w:rPr>
        <w:t>g</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u</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te</w:t>
      </w:r>
      <w:r w:rsidRPr="2030048C">
        <w:rPr>
          <w:rStyle w:val="normaltextrun"/>
          <w:rFonts w:ascii="Arial" w:hAnsi="Arial" w:cs="Arial"/>
          <w:color w:val="000000" w:themeColor="text1"/>
          <w:sz w:val="24"/>
          <w:szCs w:val="24"/>
          <w:shd w:val="clear" w:color="auto" w:fill="FFFFFF"/>
        </w:rPr>
        <w:t xml:space="preserve">s </w:t>
      </w:r>
      <w:r w:rsidRPr="2030048C">
        <w:rPr>
          <w:rStyle w:val="normaltextrun"/>
          <w:rFonts w:ascii="Arial" w:hAnsi="Arial" w:cs="Arial"/>
          <w:color w:val="000000" w:themeColor="text1"/>
          <w:sz w:val="24"/>
          <w:szCs w:val="24"/>
          <w:shd w:val="clear" w:color="auto" w:fill="FFFFFF"/>
        </w:rPr>
        <w:t>w</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 xml:space="preserve">h </w:t>
      </w:r>
      <w:r w:rsidRPr="2030048C">
        <w:rPr>
          <w:rStyle w:val="normaltextrun"/>
          <w:rFonts w:ascii="Arial" w:hAnsi="Arial" w:cs="Arial"/>
          <w:color w:val="000000" w:themeColor="text1"/>
          <w:sz w:val="24"/>
          <w:szCs w:val="24"/>
          <w:shd w:val="clear" w:color="auto" w:fill="FFFFFF"/>
        </w:rPr>
        <w:t>F</w:t>
      </w:r>
      <w:r w:rsidRPr="2030048C">
        <w:rPr>
          <w:rStyle w:val="normaltextrun"/>
          <w:rFonts w:ascii="Arial" w:hAnsi="Arial" w:cs="Arial"/>
          <w:color w:val="000000" w:themeColor="text1"/>
          <w:sz w:val="24"/>
          <w:szCs w:val="24"/>
          <w:shd w:val="clear" w:color="auto" w:fill="FFFFFF"/>
        </w:rPr>
        <w:t>ur</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h</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r L</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 xml:space="preserve">ng as </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q</w:t>
      </w:r>
      <w:r w:rsidRPr="2030048C">
        <w:rPr>
          <w:rStyle w:val="normaltextrun"/>
          <w:rFonts w:ascii="Arial" w:hAnsi="Arial" w:cs="Arial"/>
          <w:color w:val="000000" w:themeColor="text1"/>
          <w:sz w:val="24"/>
          <w:szCs w:val="24"/>
          <w:shd w:val="clear" w:color="auto" w:fill="FFFFFF"/>
        </w:rPr>
        <w:t>u</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 xml:space="preserve">ed </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 xml:space="preserve">o </w:t>
      </w:r>
      <w:r w:rsidRPr="2030048C">
        <w:rPr>
          <w:rStyle w:val="normaltextrun"/>
          <w:rFonts w:ascii="Arial" w:hAnsi="Arial" w:cs="Arial"/>
          <w:color w:val="000000" w:themeColor="text1"/>
          <w:sz w:val="24"/>
          <w:szCs w:val="24"/>
          <w:shd w:val="clear" w:color="auto" w:fill="FFFFFF"/>
        </w:rPr>
        <w:t xml:space="preserve">contribute to </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he e</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uc</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l b</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 xml:space="preserve">se </w:t>
      </w:r>
      <w:r w:rsidRPr="2030048C">
        <w:rPr>
          <w:rStyle w:val="normaltextrun"/>
          <w:rFonts w:ascii="Arial" w:hAnsi="Arial" w:cs="Arial"/>
          <w:color w:val="000000" w:themeColor="text1"/>
          <w:sz w:val="24"/>
          <w:szCs w:val="24"/>
          <w:shd w:val="clear" w:color="auto" w:fill="FFFFFF"/>
        </w:rPr>
        <w:t>f</w:t>
      </w:r>
      <w:r w:rsidRPr="2030048C">
        <w:rPr>
          <w:rStyle w:val="normaltextrun"/>
          <w:rFonts w:ascii="Arial" w:hAnsi="Arial" w:cs="Arial"/>
          <w:color w:val="000000" w:themeColor="text1"/>
          <w:sz w:val="24"/>
          <w:szCs w:val="24"/>
          <w:shd w:val="clear" w:color="auto" w:fill="FFFFFF"/>
        </w:rPr>
        <w:t>or a C</w:t>
      </w:r>
      <w:r w:rsidRPr="2030048C">
        <w:rPr>
          <w:rStyle w:val="normaltextrun"/>
          <w:rFonts w:ascii="Arial" w:hAnsi="Arial" w:cs="Arial"/>
          <w:color w:val="000000" w:themeColor="text1"/>
          <w:sz w:val="24"/>
          <w:szCs w:val="24"/>
          <w:shd w:val="clear" w:color="auto" w:fill="FFFFFF"/>
        </w:rPr>
        <w:t>h</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 xml:space="preserve">ered </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g</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er</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855" w:right="21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ff</w:t>
      </w:r>
      <w:r w:rsidRPr="2030048C">
        <w:rPr>
          <w:rStyle w:val="normaltextrun"/>
          <w:rFonts w:ascii="Arial" w:hAnsi="Arial" w:cs="Arial"/>
          <w:color w:val="000000" w:themeColor="text1"/>
          <w:sz w:val="24"/>
          <w:szCs w:val="24"/>
          <w:shd w:val="clear" w:color="auto" w:fill="FFFFFF"/>
        </w:rPr>
        <w:t>er an o</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rt</w:t>
      </w:r>
      <w:r w:rsidRPr="2030048C">
        <w:rPr>
          <w:rStyle w:val="normaltextrun"/>
          <w:rFonts w:ascii="Arial" w:hAnsi="Arial" w:cs="Arial"/>
          <w:color w:val="000000" w:themeColor="text1"/>
          <w:sz w:val="24"/>
          <w:szCs w:val="24"/>
          <w:shd w:val="clear" w:color="auto" w:fill="FFFFFF"/>
        </w:rPr>
        <w:t>u</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 xml:space="preserve">y </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o g</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u</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 xml:space="preserve">es </w:t>
      </w:r>
      <w:r w:rsidRPr="2030048C">
        <w:rPr>
          <w:rStyle w:val="normaltextrun"/>
          <w:rFonts w:ascii="Arial" w:hAnsi="Arial" w:cs="Arial"/>
          <w:color w:val="000000" w:themeColor="text1"/>
          <w:sz w:val="24"/>
          <w:szCs w:val="24"/>
          <w:shd w:val="clear" w:color="auto" w:fill="FFFFFF"/>
        </w:rPr>
        <w:t>f</w:t>
      </w:r>
      <w:r w:rsidRPr="2030048C">
        <w:rPr>
          <w:rStyle w:val="normaltextrun"/>
          <w:rFonts w:ascii="Arial" w:hAnsi="Arial" w:cs="Arial"/>
          <w:color w:val="000000" w:themeColor="text1"/>
          <w:sz w:val="24"/>
          <w:szCs w:val="24"/>
          <w:shd w:val="clear" w:color="auto" w:fill="FFFFFF"/>
        </w:rPr>
        <w:t xml:space="preserve">or </w:t>
      </w:r>
      <w:r w:rsidRPr="2030048C">
        <w:rPr>
          <w:rStyle w:val="normaltextrun"/>
          <w:rFonts w:ascii="Arial" w:hAnsi="Arial" w:cs="Arial"/>
          <w:color w:val="000000" w:themeColor="text1"/>
          <w:sz w:val="24"/>
          <w:szCs w:val="24"/>
          <w:shd w:val="clear" w:color="auto" w:fill="FFFFFF"/>
        </w:rPr>
        <w:t>l</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f</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l</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g l</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ng 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d co</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ui</w:t>
      </w:r>
      <w:r w:rsidRPr="2030048C">
        <w:rPr>
          <w:rStyle w:val="normaltextrun"/>
          <w:rFonts w:ascii="Arial" w:hAnsi="Arial" w:cs="Arial"/>
          <w:color w:val="000000" w:themeColor="text1"/>
          <w:sz w:val="24"/>
          <w:szCs w:val="24"/>
          <w:shd w:val="clear" w:color="auto" w:fill="FFFFFF"/>
        </w:rPr>
        <w:t xml:space="preserve">ng </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f</w:t>
      </w:r>
      <w:r w:rsidRPr="2030048C">
        <w:rPr>
          <w:rStyle w:val="normaltextrun"/>
          <w:rFonts w:ascii="Arial" w:hAnsi="Arial" w:cs="Arial"/>
          <w:color w:val="000000" w:themeColor="text1"/>
          <w:sz w:val="24"/>
          <w:szCs w:val="24"/>
          <w:shd w:val="clear" w:color="auto" w:fill="FFFFFF"/>
        </w:rPr>
        <w:t>ess</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al d</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v</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l</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m</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 xml:space="preserve">t </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h</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 xml:space="preserve">t </w:t>
      </w:r>
      <w:r w:rsidRPr="2030048C">
        <w:rPr>
          <w:rStyle w:val="normaltextrun"/>
          <w:rFonts w:ascii="Arial" w:hAnsi="Arial" w:cs="Arial"/>
          <w:color w:val="000000" w:themeColor="text1"/>
          <w:sz w:val="24"/>
          <w:szCs w:val="24"/>
          <w:shd w:val="clear" w:color="auto" w:fill="FFFFFF"/>
        </w:rPr>
        <w:t>m</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et</w:t>
      </w:r>
      <w:r w:rsidRPr="2030048C">
        <w:rPr>
          <w:rStyle w:val="normaltextrun"/>
          <w:rFonts w:ascii="Arial" w:hAnsi="Arial" w:cs="Arial"/>
          <w:color w:val="000000" w:themeColor="text1"/>
          <w:sz w:val="24"/>
          <w:szCs w:val="24"/>
          <w:shd w:val="clear" w:color="auto" w:fill="FFFFFF"/>
        </w:rPr>
        <w:t>s cur</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t 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 xml:space="preserve">d </w:t>
      </w:r>
      <w:r w:rsidRPr="2030048C">
        <w:rPr>
          <w:rStyle w:val="normaltextrun"/>
          <w:rFonts w:ascii="Arial" w:hAnsi="Arial" w:cs="Arial"/>
          <w:color w:val="000000" w:themeColor="text1"/>
          <w:sz w:val="24"/>
          <w:szCs w:val="24"/>
          <w:shd w:val="clear" w:color="auto" w:fill="FFFFFF"/>
        </w:rPr>
        <w:t>f</w:t>
      </w:r>
      <w:r w:rsidRPr="2030048C">
        <w:rPr>
          <w:rStyle w:val="normaltextrun"/>
          <w:rFonts w:ascii="Arial" w:hAnsi="Arial" w:cs="Arial"/>
          <w:color w:val="000000" w:themeColor="text1"/>
          <w:sz w:val="24"/>
          <w:szCs w:val="24"/>
          <w:shd w:val="clear" w:color="auto" w:fill="FFFFFF"/>
        </w:rPr>
        <w:t>u</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 xml:space="preserve">ure </w:t>
      </w:r>
      <w:r w:rsidRPr="2030048C">
        <w:rPr>
          <w:rStyle w:val="normaltextrun"/>
          <w:rFonts w:ascii="Arial" w:hAnsi="Arial" w:cs="Arial"/>
          <w:color w:val="000000" w:themeColor="text1"/>
          <w:sz w:val="24"/>
          <w:szCs w:val="24"/>
          <w:shd w:val="clear" w:color="auto" w:fill="FFFFFF"/>
        </w:rPr>
        <w:t>m</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k</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t d</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m</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ds and s</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g</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f</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ca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l</w:t>
      </w:r>
      <w:r w:rsidRPr="2030048C">
        <w:rPr>
          <w:rStyle w:val="normaltextrun"/>
          <w:rFonts w:ascii="Arial" w:hAnsi="Arial" w:cs="Arial"/>
          <w:color w:val="000000" w:themeColor="text1"/>
          <w:sz w:val="24"/>
          <w:szCs w:val="24"/>
          <w:shd w:val="clear" w:color="auto" w:fill="FFFFFF"/>
        </w:rPr>
        <w:t>y e</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h</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nc</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 xml:space="preserve"> t</w:t>
      </w:r>
      <w:r w:rsidRPr="2030048C">
        <w:rPr>
          <w:rStyle w:val="normaltextrun"/>
          <w:rFonts w:ascii="Arial" w:hAnsi="Arial" w:cs="Arial"/>
          <w:color w:val="000000" w:themeColor="text1"/>
          <w:sz w:val="24"/>
          <w:szCs w:val="24"/>
          <w:shd w:val="clear" w:color="auto" w:fill="FFFFFF"/>
        </w:rPr>
        <w:t>h</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r c</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r o</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rt</w:t>
      </w:r>
      <w:r w:rsidRPr="2030048C">
        <w:rPr>
          <w:rStyle w:val="normaltextrun"/>
          <w:rFonts w:ascii="Arial" w:hAnsi="Arial" w:cs="Arial"/>
          <w:color w:val="000000" w:themeColor="text1"/>
          <w:sz w:val="24"/>
          <w:szCs w:val="24"/>
          <w:shd w:val="clear" w:color="auto" w:fill="FFFFFF"/>
        </w:rPr>
        <w:t>u</w:t>
      </w:r>
      <w:r w:rsidRPr="2030048C">
        <w:rPr>
          <w:rStyle w:val="normaltextrun"/>
          <w:rFonts w:ascii="Arial" w:hAnsi="Arial" w:cs="Arial"/>
          <w:color w:val="000000" w:themeColor="text1"/>
          <w:sz w:val="24"/>
          <w:szCs w:val="24"/>
          <w:shd w:val="clear" w:color="auto" w:fill="FFFFFF"/>
        </w:rPr>
        <w:t>ni</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855" w:right="15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e a u</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q</w:t>
      </w:r>
      <w:r w:rsidRPr="2030048C">
        <w:rPr>
          <w:rStyle w:val="normaltextrun"/>
          <w:rFonts w:ascii="Arial" w:hAnsi="Arial" w:cs="Arial"/>
          <w:color w:val="000000" w:themeColor="text1"/>
          <w:sz w:val="24"/>
          <w:szCs w:val="24"/>
          <w:shd w:val="clear" w:color="auto" w:fill="FFFFFF"/>
        </w:rPr>
        <w:t>ue 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d d</w:t>
      </w:r>
      <w:r w:rsidRPr="2030048C">
        <w:rPr>
          <w:rStyle w:val="normaltextrun"/>
          <w:rFonts w:ascii="Arial" w:hAnsi="Arial" w:cs="Arial"/>
          <w:color w:val="000000" w:themeColor="text1"/>
          <w:sz w:val="24"/>
          <w:szCs w:val="24"/>
          <w:shd w:val="clear" w:color="auto" w:fill="FFFFFF"/>
        </w:rPr>
        <w:t>y</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m</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c e</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uc</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al e</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v</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m</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 xml:space="preserve">t </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h</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t se</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k</w:t>
      </w:r>
      <w:r w:rsidRPr="2030048C">
        <w:rPr>
          <w:rStyle w:val="normaltextrun"/>
          <w:rFonts w:ascii="Arial" w:hAnsi="Arial" w:cs="Arial"/>
          <w:color w:val="000000" w:themeColor="text1"/>
          <w:sz w:val="24"/>
          <w:szCs w:val="24"/>
          <w:shd w:val="clear" w:color="auto" w:fill="FFFFFF"/>
        </w:rPr>
        <w:t xml:space="preserve">s </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 xml:space="preserve">o </w:t>
      </w:r>
      <w:r w:rsidRPr="2030048C">
        <w:rPr>
          <w:rStyle w:val="normaltextrun"/>
          <w:rFonts w:ascii="Arial" w:hAnsi="Arial" w:cs="Arial"/>
          <w:color w:val="000000" w:themeColor="text1"/>
          <w:sz w:val="24"/>
          <w:szCs w:val="24"/>
          <w:shd w:val="clear" w:color="auto" w:fill="FFFFFF"/>
        </w:rPr>
        <w:t>b</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f</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 xml:space="preserve">t </w:t>
      </w:r>
      <w:r w:rsidRPr="2030048C">
        <w:rPr>
          <w:rStyle w:val="normaltextrun"/>
          <w:rFonts w:ascii="Arial" w:hAnsi="Arial" w:cs="Arial"/>
          <w:color w:val="000000" w:themeColor="text1"/>
          <w:sz w:val="24"/>
          <w:szCs w:val="24"/>
          <w:shd w:val="clear" w:color="auto" w:fill="FFFFFF"/>
        </w:rPr>
        <w:t>fr</w:t>
      </w:r>
      <w:r w:rsidRPr="2030048C">
        <w:rPr>
          <w:rStyle w:val="normaltextrun"/>
          <w:rFonts w:ascii="Arial" w:hAnsi="Arial" w:cs="Arial"/>
          <w:color w:val="000000" w:themeColor="text1"/>
          <w:sz w:val="24"/>
          <w:szCs w:val="24"/>
          <w:shd w:val="clear" w:color="auto" w:fill="FFFFFF"/>
        </w:rPr>
        <w:t xml:space="preserve">om </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he prac</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cal e</w:t>
      </w:r>
      <w:r w:rsidRPr="2030048C">
        <w:rPr>
          <w:rStyle w:val="normaltextrun"/>
          <w:rFonts w:ascii="Arial" w:hAnsi="Arial" w:cs="Arial"/>
          <w:color w:val="000000" w:themeColor="text1"/>
          <w:sz w:val="24"/>
          <w:szCs w:val="24"/>
          <w:shd w:val="clear" w:color="auto" w:fill="FFFFFF"/>
        </w:rPr>
        <w:t>x</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 xml:space="preserve">ce </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 xml:space="preserve">f </w:t>
      </w:r>
      <w:r w:rsidRPr="2030048C">
        <w:rPr>
          <w:rStyle w:val="normaltextrun"/>
          <w:rFonts w:ascii="Arial" w:hAnsi="Arial" w:cs="Arial"/>
          <w:color w:val="000000" w:themeColor="text1"/>
          <w:sz w:val="24"/>
          <w:szCs w:val="24"/>
          <w:shd w:val="clear" w:color="auto" w:fill="FFFFFF"/>
        </w:rPr>
        <w:t>m</w:t>
      </w:r>
      <w:r w:rsidRPr="2030048C">
        <w:rPr>
          <w:rStyle w:val="normaltextrun"/>
          <w:rFonts w:ascii="Arial" w:hAnsi="Arial" w:cs="Arial"/>
          <w:color w:val="000000" w:themeColor="text1"/>
          <w:sz w:val="24"/>
          <w:szCs w:val="24"/>
          <w:shd w:val="clear" w:color="auto" w:fill="FFFFFF"/>
        </w:rPr>
        <w:t>atu</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e 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d p</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rt-t</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m</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 xml:space="preserve"> s</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u</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855" w:right="-15"/>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n add</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 xml:space="preserve">on, </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he a</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 xml:space="preserve">m </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 xml:space="preserve">f </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he co</w:t>
      </w:r>
      <w:r w:rsidRPr="2030048C">
        <w:rPr>
          <w:rStyle w:val="normaltextrun"/>
          <w:rFonts w:ascii="Arial" w:hAnsi="Arial" w:cs="Arial"/>
          <w:color w:val="000000" w:themeColor="text1"/>
          <w:sz w:val="24"/>
          <w:szCs w:val="24"/>
          <w:shd w:val="clear" w:color="auto" w:fill="FFFFFF"/>
        </w:rPr>
        <w:t>u</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 xml:space="preserve">se </w:t>
      </w:r>
      <w:r w:rsidRPr="2030048C">
        <w:rPr>
          <w:rStyle w:val="normaltextrun"/>
          <w:rFonts w:ascii="Arial" w:hAnsi="Arial" w:cs="Arial"/>
          <w:color w:val="000000" w:themeColor="text1"/>
          <w:sz w:val="24"/>
          <w:szCs w:val="24"/>
          <w:shd w:val="clear" w:color="auto" w:fill="FFFFFF"/>
        </w:rPr>
        <w:t>w</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h p</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h</w:t>
      </w:r>
      <w:r w:rsidRPr="2030048C">
        <w:rPr>
          <w:rStyle w:val="normaltextrun"/>
          <w:rFonts w:ascii="Arial" w:hAnsi="Arial" w:cs="Arial"/>
          <w:color w:val="000000" w:themeColor="text1"/>
          <w:sz w:val="24"/>
          <w:szCs w:val="24"/>
          <w:shd w:val="clear" w:color="auto" w:fill="FFFFFF"/>
        </w:rPr>
        <w:t>w</w:t>
      </w:r>
      <w:r w:rsidRPr="2030048C">
        <w:rPr>
          <w:rStyle w:val="normaltextrun"/>
          <w:rFonts w:ascii="Arial" w:hAnsi="Arial" w:cs="Arial"/>
          <w:color w:val="000000" w:themeColor="text1"/>
          <w:sz w:val="24"/>
          <w:szCs w:val="24"/>
          <w:shd w:val="clear" w:color="auto" w:fill="FFFFFF"/>
        </w:rPr>
        <w:t>ay</w:t>
      </w:r>
      <w:r w:rsidRPr="2030048C">
        <w:rPr>
          <w:rStyle w:val="normaltextrun"/>
          <w:rFonts w:ascii="Arial" w:hAnsi="Arial" w:cs="Arial"/>
          <w:color w:val="000000" w:themeColor="text1"/>
          <w:sz w:val="24"/>
          <w:szCs w:val="24"/>
          <w:shd w:val="clear" w:color="auto" w:fill="FFFFFF"/>
        </w:rPr>
        <w:t xml:space="preserve"> S</w:t>
      </w:r>
      <w:r w:rsidRPr="2030048C">
        <w:rPr>
          <w:rStyle w:val="normaltextrun"/>
          <w:rFonts w:ascii="Arial" w:hAnsi="Arial" w:cs="Arial"/>
          <w:color w:val="000000" w:themeColor="text1"/>
          <w:sz w:val="24"/>
          <w:szCs w:val="24"/>
          <w:shd w:val="clear" w:color="auto" w:fill="FFFFFF"/>
        </w:rPr>
        <w:t>u</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b</w:t>
      </w:r>
      <w:r w:rsidRPr="2030048C">
        <w:rPr>
          <w:rStyle w:val="normaltextrun"/>
          <w:rFonts w:ascii="Arial" w:hAnsi="Arial" w:cs="Arial"/>
          <w:color w:val="000000" w:themeColor="text1"/>
          <w:sz w:val="24"/>
          <w:szCs w:val="24"/>
          <w:shd w:val="clear" w:color="auto" w:fill="FFFFFF"/>
        </w:rPr>
        <w:t>ili</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y</w:t>
      </w:r>
      <w:r w:rsidRPr="2030048C">
        <w:rPr>
          <w:rStyle w:val="normaltextrun"/>
          <w:rFonts w:ascii="Arial" w:hAnsi="Arial" w:cs="Arial"/>
          <w:color w:val="000000" w:themeColor="text1"/>
          <w:sz w:val="24"/>
          <w:szCs w:val="24"/>
          <w:shd w:val="clear" w:color="auto" w:fill="FFFFFF"/>
        </w:rPr>
        <w:t xml:space="preserve"> i</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 xml:space="preserve"> t</w:t>
      </w:r>
      <w:r w:rsidRPr="2030048C">
        <w:rPr>
          <w:rStyle w:val="normaltextrun"/>
          <w:rFonts w:ascii="Arial" w:hAnsi="Arial" w:cs="Arial"/>
          <w:color w:val="000000" w:themeColor="text1"/>
          <w:sz w:val="24"/>
          <w:szCs w:val="24"/>
          <w:shd w:val="clear" w:color="auto" w:fill="FFFFFF"/>
        </w:rPr>
        <w:t>o:</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855" w:right="675"/>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uce gradu</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 xml:space="preserve">es </w:t>
      </w:r>
      <w:r w:rsidRPr="2030048C">
        <w:rPr>
          <w:rStyle w:val="normaltextrun"/>
          <w:rFonts w:ascii="Arial" w:hAnsi="Arial" w:cs="Arial"/>
          <w:color w:val="000000" w:themeColor="text1"/>
          <w:sz w:val="24"/>
          <w:szCs w:val="24"/>
          <w:shd w:val="clear" w:color="auto" w:fill="FFFFFF"/>
        </w:rPr>
        <w:t>w</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h a d</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il</w:t>
      </w:r>
      <w:r w:rsidRPr="2030048C">
        <w:rPr>
          <w:rStyle w:val="normaltextrun"/>
          <w:rFonts w:ascii="Arial" w:hAnsi="Arial" w:cs="Arial"/>
          <w:color w:val="000000" w:themeColor="text1"/>
          <w:sz w:val="24"/>
          <w:szCs w:val="24"/>
          <w:shd w:val="clear" w:color="auto" w:fill="FFFFFF"/>
        </w:rPr>
        <w:t>ed a</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v</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 xml:space="preserve">ced </w:t>
      </w:r>
      <w:r w:rsidRPr="2030048C">
        <w:rPr>
          <w:rStyle w:val="normaltextrun"/>
          <w:rFonts w:ascii="Arial" w:hAnsi="Arial" w:cs="Arial"/>
          <w:color w:val="000000" w:themeColor="text1"/>
          <w:sz w:val="24"/>
          <w:szCs w:val="24"/>
          <w:shd w:val="clear" w:color="auto" w:fill="FFFFFF"/>
        </w:rPr>
        <w:t>k</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wl</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g</w:t>
      </w:r>
      <w:r w:rsidRPr="2030048C">
        <w:rPr>
          <w:rStyle w:val="normaltextrun"/>
          <w:rFonts w:ascii="Arial" w:hAnsi="Arial" w:cs="Arial"/>
          <w:color w:val="000000" w:themeColor="text1"/>
          <w:sz w:val="24"/>
          <w:szCs w:val="24"/>
          <w:shd w:val="clear" w:color="auto" w:fill="FFFFFF"/>
        </w:rPr>
        <w:t>e and u</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e</w:t>
      </w:r>
      <w:r w:rsidRPr="2030048C">
        <w:rPr>
          <w:rStyle w:val="normaltextrun"/>
          <w:rFonts w:ascii="Arial" w:hAnsi="Arial" w:cs="Arial"/>
          <w:color w:val="000000" w:themeColor="text1"/>
          <w:sz w:val="24"/>
          <w:szCs w:val="24"/>
          <w:shd w:val="clear" w:color="auto" w:fill="FFFFFF"/>
        </w:rPr>
        <w:t>r</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d</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 xml:space="preserve">ng </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f environmental and social Sustainability and susta</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a</w:t>
      </w:r>
      <w:r w:rsidRPr="2030048C">
        <w:rPr>
          <w:rStyle w:val="normaltextrun"/>
          <w:rFonts w:ascii="Arial" w:hAnsi="Arial" w:cs="Arial"/>
          <w:color w:val="000000" w:themeColor="text1"/>
          <w:sz w:val="24"/>
          <w:szCs w:val="24"/>
          <w:shd w:val="clear" w:color="auto" w:fill="FFFFFF"/>
        </w:rPr>
        <w:t>b</w:t>
      </w:r>
      <w:r w:rsidRPr="2030048C">
        <w:rPr>
          <w:rStyle w:val="normaltextrun"/>
          <w:rFonts w:ascii="Arial" w:hAnsi="Arial" w:cs="Arial"/>
          <w:color w:val="000000" w:themeColor="text1"/>
          <w:sz w:val="24"/>
          <w:szCs w:val="24"/>
          <w:shd w:val="clear" w:color="auto" w:fill="FFFFFF"/>
        </w:rPr>
        <w:t>l</w:t>
      </w:r>
      <w:r w:rsidRPr="2030048C">
        <w:rPr>
          <w:rStyle w:val="normaltextrun"/>
          <w:rFonts w:ascii="Arial" w:hAnsi="Arial" w:cs="Arial"/>
          <w:color w:val="000000" w:themeColor="text1"/>
          <w:sz w:val="24"/>
          <w:szCs w:val="24"/>
          <w:shd w:val="clear" w:color="auto" w:fill="FFFFFF"/>
        </w:rPr>
        <w:t>e con</w:t>
      </w:r>
      <w:r w:rsidRPr="2030048C">
        <w:rPr>
          <w:rStyle w:val="normaltextrun"/>
          <w:rFonts w:ascii="Arial" w:hAnsi="Arial" w:cs="Arial"/>
          <w:color w:val="000000" w:themeColor="text1"/>
          <w:sz w:val="24"/>
          <w:szCs w:val="24"/>
          <w:shd w:val="clear" w:color="auto" w:fill="FFFFFF"/>
        </w:rPr>
        <w:t>s</w:t>
      </w:r>
      <w:r w:rsidRPr="2030048C">
        <w:rPr>
          <w:rStyle w:val="normaltextrun"/>
          <w:rFonts w:ascii="Arial" w:hAnsi="Arial" w:cs="Arial"/>
          <w:color w:val="000000" w:themeColor="text1"/>
          <w:sz w:val="24"/>
          <w:szCs w:val="24"/>
          <w:shd w:val="clear" w:color="auto" w:fill="FFFFFF"/>
        </w:rPr>
        <w:t>tr</w:t>
      </w:r>
      <w:r w:rsidRPr="2030048C">
        <w:rPr>
          <w:rStyle w:val="normaltextrun"/>
          <w:rFonts w:ascii="Arial" w:hAnsi="Arial" w:cs="Arial"/>
          <w:color w:val="000000" w:themeColor="text1"/>
          <w:sz w:val="24"/>
          <w:szCs w:val="24"/>
          <w:shd w:val="clear" w:color="auto" w:fill="FFFFFF"/>
        </w:rPr>
        <w:t>u</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t</w:t>
      </w:r>
      <w:r w:rsidRPr="2030048C">
        <w:rPr>
          <w:rStyle w:val="normaltextrun"/>
          <w:rFonts w:ascii="Arial" w:hAnsi="Arial" w:cs="Arial"/>
          <w:color w:val="000000" w:themeColor="text1"/>
          <w:sz w:val="24"/>
          <w:szCs w:val="24"/>
          <w:shd w:val="clear" w:color="auto" w:fill="FFFFFF"/>
        </w:rPr>
        <w:t>i</w:t>
      </w:r>
      <w:r w:rsidRPr="2030048C">
        <w:rPr>
          <w:rStyle w:val="normaltextrun"/>
          <w:rFonts w:ascii="Arial" w:hAnsi="Arial" w:cs="Arial"/>
          <w:color w:val="000000" w:themeColor="text1"/>
          <w:sz w:val="24"/>
          <w:szCs w:val="24"/>
          <w:shd w:val="clear" w:color="auto" w:fill="FFFFFF"/>
        </w:rPr>
        <w:t>o</w:t>
      </w:r>
      <w:r w:rsidRPr="2030048C">
        <w:rPr>
          <w:rStyle w:val="normaltextrun"/>
          <w:rFonts w:ascii="Arial" w:hAnsi="Arial" w:cs="Arial"/>
          <w:color w:val="000000" w:themeColor="text1"/>
          <w:sz w:val="24"/>
          <w:szCs w:val="24"/>
          <w:shd w:val="clear" w:color="auto" w:fill="FFFFFF"/>
        </w:rPr>
        <w:t>n</w:t>
      </w:r>
      <w:r w:rsidRPr="2030048C">
        <w:rPr>
          <w:rStyle w:val="normaltextrun"/>
          <w:rFonts w:ascii="Arial" w:hAnsi="Arial" w:cs="Arial"/>
          <w:color w:val="000000" w:themeColor="text1"/>
          <w:sz w:val="24"/>
          <w:szCs w:val="24"/>
          <w:shd w:val="clear" w:color="auto" w:fill="FFFFFF"/>
        </w:rPr>
        <w: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Advanced methods in the design of structures in concrete and steel and composite structures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Submit areas studied to critical analysis and evaluation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the conceptual &amp; detailed design of modern structures in concrete or steel using state-of-the- art design techniques and up-to- date design codes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Advanced methods in the design of structures subjected to seismic actions.</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(MSc Structural Design and</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Construction Management only)</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problems and issues, taking due account of any incompleteness of data or information, and arrive at well-reasoned and supportable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Carry out sophisticated analysis and design of structures subjected to seismic actions using latest methods and design codes (MSc Structural Design and Construction Management only)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Advanced methods in the design of substructures and foundations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a critical literature review and, design &amp; develop a programme of independent research and data collection/analysis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and critically review solutions to substructures and foundations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Procurement strategies, estimating procedures and controlling cost of projects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Think originally, creatively and imaginatively to solve problems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Advise on the appropriate procurement route, the evaluation of tender returns and the conversion of an estimate into a tender</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Project management tools and techniques including risk, health &amp; safety and quality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Carry out a critical literature review and, design &amp; develop a programme of independent research and data collection/analysis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Use project management tools and techniques to assess risk and control quality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Sustainable construction and the</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environmental, social and economic credentials of concrete as applied in practice.</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Submit analyse problems and issues, taking due account of any incompleteness of data or information, and arrive at well-reasoned and supportable conclusions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evaluate and reflect upon</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issues of sustainable structural design and construction management.</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1"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A7</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Understanding coastal processes including erosion, sediment transport, and shoreline dynamics (Structural Design and Construction management with Sustainability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B7</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The ability to draw on knowledge and expertise from different disciplines to solve complex problems and understand and appreciate the interconnectedness of different systems and how they interact.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C7</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Analyse, assess, design, and implement effective coastal and flood defence systems (Structural Design and Construction management with Sustainability only)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2"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B8</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Students opting for a degree with professional placement will additionally be able to:</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Synthesise the experiences of the practical work-based environment to the academic study of Civil Engineering</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C8</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Students opting for a degree with professional placement will additionally be able to:</w:t>
            </w:r>
          </w:p>
          <w:p w:rsidR="3A9B68BE" w:rsidRPr="22ACACF3" w:rsidP="22ACACF3">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Pr>
                <w:rStyle w:val="normaltextrun"/>
                <w:rFonts w:ascii="Arial" w:eastAsia="Arial" w:hAnsi="Arial" w:cs="Arial"/>
                <w:color w:val="000000" w:themeColor="text1" w:themeShade="FF" w:themeTint="FF"/>
                <w:sz w:val="24"/>
                <w:szCs w:val="24"/>
                <w:lang w:val="en-GB"/>
              </w:rPr>
              <w:t>Transcribe and apply the experiences of the practical work-based environment to academic study and chosen career aspirations.</w:t>
            </w:r>
            <w:r w:rsidRPr="22ACACF3">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ind w:left="567"/>
        <w:rPr>
          <w:rFonts w:ascii="Arial" w:eastAsia="Arial" w:hAnsi="Arial" w:cs="Arial"/>
          <w:color w:val="000000" w:themeColor="text1" w:themeShade="FF" w:themeTint="FF"/>
          <w:sz w:val="24"/>
          <w:szCs w:val="24"/>
        </w:rPr>
      </w:pPr>
      <w:r w:rsidRPr="2030048C">
        <w:rPr>
          <w:rFonts w:ascii="Arial" w:eastAsia="Arial" w:hAnsi="Arial" w:cs="Arial"/>
          <w:b/>
          <w:bCs/>
          <w:color w:val="000000" w:themeColor="text1" w:themeShade="FF" w:themeTint="FF"/>
          <w:sz w:val="24"/>
          <w:szCs w:val="24"/>
        </w:rPr>
        <w:t> </w:t>
      </w:r>
      <w:r w:rsidRPr="2030048C">
        <w:rPr>
          <w:rFonts w:ascii="Arial" w:eastAsia="Arial" w:hAnsi="Arial" w:cs="Arial"/>
          <w:color w:val="000000" w:themeColor="text1" w:themeShade="FF" w:themeTint="FF"/>
          <w:sz w:val="24"/>
          <w:szCs w:val="24"/>
        </w:rPr>
        <w:t>Full details of each module will be provided in module descriptors and in the module pages.</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Structural Design and Construction Management</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Structural Design and Construction Management</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 Dynamic Analysis and Seismic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Design of Composite Structures and Design of Steel Structures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CE7020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Design of Concrete Structures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Digital Technologies and Construction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 and Research Project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Foundation Design of Substructures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CE7019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Management of Project Risk, Quality and Safety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Structural Design and Construction Management with Sustainability</w:t>
      </w:r>
    </w:p>
    <w:p w:rsidR="008B5CAF" w:rsidRPr="008B5CAF" w:rsidP="008B5CAF" w14:textId="77777777">
      <w:pPr>
        <w:rPr>
          <w:rFonts w:eastAsia="Arial"/>
        </w:rPr>
      </w:pPr>
    </w:p>
    <w:p w:rsidR="035B6837" w:rsidP="2030048C"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80"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C"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Structural Design and Construction Management with Sustainability</w:t>
            </w:r>
          </w:p>
        </w:tc>
      </w:tr>
      <w:tr w14:paraId="17F545E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22"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Civil Engineering Group Design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Coastal and Flood Defence System</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CE7017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4"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Design of Concrete Structures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5"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Digital Technologies and Construction Modelling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6"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 and Research Project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CE7724</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7"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Management of Project Risk, Quality and Safety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CE7722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28"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Sustainable Construction Methods and Materials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CE7018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textId="4BC9AF03">
      <w:pPr>
        <w:rPr>
          <w:rFonts w:ascii="Arial" w:eastAsia="Arial" w:hAnsi="Arial" w:cs="Arial"/>
          <w:color w:val="0070C0"/>
          <w:sz w:val="24"/>
          <w:szCs w:val="24"/>
        </w:rPr>
      </w:pPr>
    </w:p>
    <w:p w:rsidR="22C556D0" w:rsidRPr="2030048C" w:rsidP="2030048C"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i/>
          <w:iCs/>
          <w:color w:val="3498DB"/>
          <w:sz w:val="24"/>
          <w:szCs w:val="24"/>
        </w:rPr>
        <w:t>PLEASE DELETE IF THERE ARE NO LEVEL 7 MODULES IN THIS COURSE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(Where appropriate – specify if there are any core modules that students must achieve for either of the exit awards)</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Please note pre-requisite requirements for master’s courses should only be set where there are defined progression points in the course where assessment boards have ratified module outcomes.</w:t>
      </w:r>
    </w:p>
    <w:p w:rsidR="66934EB1" w:rsidP="2030048C" w14:textId="4B9BAAF3">
      <w:pPr>
        <w:rPr>
          <w:rFonts w:ascii="Arial" w:eastAsia="Arial" w:hAnsi="Arial" w:cs="Arial"/>
          <w:color w:val="000000" w:themeColor="text1" w:themeShade="FF" w:themeTint="FF"/>
          <w:sz w:val="24"/>
          <w:szCs w:val="24"/>
          <w:lang w:val="en-GB"/>
        </w:rPr>
      </w:pPr>
    </w:p>
    <w:p w:rsidR="66934EB1" w:rsidP="540725A5" w14:textId="4E7BC9F4">
      <w:pPr>
        <w:rPr>
          <w:rFonts w:ascii="Arial" w:eastAsia="Arial" w:hAnsi="Arial" w:cs="Arial"/>
          <w:color w:val="000000" w:themeColor="text1"/>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b/>
          <w:bCs/>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Engineering subject benchmark:</w:t>
      </w:r>
    </w:p>
    <w:p w:rsidRPr="2030048C" w:rsidP="2030048C">
      <w:pPr>
        <w:numPr>
          <w:ilvl w:val="0"/>
          <w:numId w:val="18"/>
        </w:numPr>
        <w:ind w:left="720" w:hanging="360"/>
        <w:jc w:val="both"/>
        <w:rPr>
          <w:rFonts w:ascii="Arial" w:eastAsia="Arial" w:hAnsi="Arial" w:cs="Arial"/>
          <w:sz w:val="24"/>
          <w:szCs w:val="24"/>
        </w:rPr>
      </w:pPr>
      <w:hyperlink r:id="rId11" w:history="1">
        <w:r w:rsidRPr="2030048C">
          <w:rPr>
            <w:rFonts w:ascii="Arial" w:eastAsia="Arial" w:hAnsi="Arial" w:cs="Arial"/>
            <w:sz w:val="24"/>
            <w:szCs w:val="24"/>
          </w:rPr>
          <w:t>QAA Subject Benchmark Statement</w:t>
        </w:r>
      </w:hyperlink>
      <w:r w:rsidRPr="2030048C">
        <w:rPr>
          <w:rFonts w:ascii="Arial" w:eastAsia="Arial" w:hAnsi="Arial" w:cs="Arial"/>
          <w:sz w:val="24"/>
          <w:szCs w:val="24"/>
        </w:rPr>
        <w:t xml:space="preserve"> for Engineering</w:t>
      </w:r>
    </w:p>
    <w:p w:rsidRPr="2030048C" w:rsidP="2030048C">
      <w:pPr>
        <w:numPr>
          <w:ilvl w:val="0"/>
          <w:numId w:val="18"/>
        </w:numPr>
        <w:ind w:left="720" w:hanging="360"/>
        <w:jc w:val="left"/>
        <w:rPr>
          <w:rFonts w:ascii="Arial" w:eastAsia="Arial" w:hAnsi="Arial" w:cs="Arial"/>
          <w:sz w:val="24"/>
          <w:szCs w:val="24"/>
        </w:rPr>
      </w:pPr>
      <w:hyperlink r:id="rId12" w:history="1">
        <w:r w:rsidRPr="2030048C">
          <w:rPr>
            <w:rFonts w:ascii="Arial" w:eastAsia="Arial" w:hAnsi="Arial" w:cs="Arial"/>
            <w:sz w:val="24"/>
            <w:szCs w:val="24"/>
          </w:rPr>
          <w:t>QAA Subject benchmarks  Statement</w:t>
        </w:r>
      </w:hyperlink>
      <w:r w:rsidRPr="2030048C">
        <w:rPr>
          <w:rFonts w:ascii="Arial" w:eastAsia="Arial" w:hAnsi="Arial" w:cs="Arial"/>
          <w:sz w:val="24"/>
          <w:szCs w:val="24"/>
        </w:rPr>
        <w:t xml:space="preserve"> for Land, Construction, Real Estate and Surveying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i/>
          <w:iCs/>
          <w:color w:val="3498DB"/>
          <w:sz w:val="24"/>
          <w:szCs w:val="24"/>
        </w:rPr>
        <w:t>Professional bodies:</w:t>
      </w:r>
    </w:p>
    <w:p w:rsidRPr="2030048C" w:rsidP="2030048C">
      <w:pPr>
        <w:rPr>
          <w:rFonts w:ascii="Arial" w:eastAsia="Arial" w:hAnsi="Arial" w:cs="Arial"/>
          <w:sz w:val="24"/>
          <w:szCs w:val="24"/>
        </w:rPr>
      </w:pPr>
      <w:hyperlink r:id="rId13" w:history="1">
        <w:r w:rsidRPr="2030048C">
          <w:rPr>
            <w:rFonts w:ascii="Arial" w:eastAsia="Arial" w:hAnsi="Arial" w:cs="Arial"/>
            <w:b/>
            <w:bCs/>
            <w:i/>
            <w:iCs/>
            <w:color w:val="3498DB"/>
            <w:sz w:val="24"/>
            <w:szCs w:val="24"/>
          </w:rPr>
          <w:t>www.ice.org.uk/</w:t>
        </w:r>
      </w:hyperlink>
    </w:p>
    <w:p w:rsidRPr="2030048C" w:rsidP="2030048C">
      <w:pPr>
        <w:rPr>
          <w:rFonts w:ascii="Arial" w:eastAsia="Arial" w:hAnsi="Arial" w:cs="Arial"/>
          <w:sz w:val="24"/>
          <w:szCs w:val="24"/>
        </w:rPr>
      </w:pPr>
      <w:hyperlink r:id="rId14" w:history="1">
        <w:r w:rsidRPr="2030048C">
          <w:rPr>
            <w:rFonts w:ascii="Arial" w:eastAsia="Arial" w:hAnsi="Arial" w:cs="Arial"/>
            <w:b/>
            <w:bCs/>
            <w:i/>
            <w:iCs/>
            <w:color w:val="3498DB"/>
            <w:sz w:val="24"/>
            <w:szCs w:val="24"/>
          </w:rPr>
          <w:t>www.istructe.org/</w:t>
        </w:r>
      </w:hyperlink>
    </w:p>
    <w:p w:rsidRPr="2030048C" w:rsidP="2030048C">
      <w:pPr>
        <w:rPr>
          <w:rFonts w:ascii="Arial" w:eastAsia="Arial" w:hAnsi="Arial" w:cs="Arial"/>
          <w:sz w:val="24"/>
          <w:szCs w:val="24"/>
        </w:rPr>
      </w:pPr>
      <w:hyperlink r:id="rId15" w:history="1">
        <w:r w:rsidRPr="2030048C">
          <w:rPr>
            <w:rFonts w:ascii="Arial" w:eastAsia="Arial" w:hAnsi="Arial" w:cs="Arial"/>
            <w:b/>
            <w:bCs/>
            <w:i/>
            <w:iCs/>
            <w:color w:val="3498DB"/>
            <w:sz w:val="24"/>
            <w:szCs w:val="24"/>
          </w:rPr>
          <w:t>www.theihe.org/</w:t>
        </w:r>
      </w:hyperlink>
    </w:p>
    <w:p w:rsidRPr="2030048C" w:rsidP="2030048C">
      <w:pPr>
        <w:rPr>
          <w:rFonts w:ascii="Arial" w:eastAsia="Arial" w:hAnsi="Arial" w:cs="Arial"/>
          <w:sz w:val="24"/>
          <w:szCs w:val="24"/>
        </w:rPr>
      </w:pPr>
      <w:hyperlink r:id="rId16" w:history="1">
        <w:r w:rsidRPr="2030048C">
          <w:rPr>
            <w:rFonts w:ascii="Arial" w:eastAsia="Arial" w:hAnsi="Arial" w:cs="Arial"/>
            <w:b/>
            <w:bCs/>
            <w:i/>
            <w:iCs/>
            <w:color w:val="3498DB"/>
            <w:sz w:val="24"/>
            <w:szCs w:val="24"/>
          </w:rPr>
          <w:t>www.ciht.org.uk/</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387"/>
        <w:gridCol w:w="290"/>
        <w:gridCol w:w="733"/>
        <w:gridCol w:w="733"/>
        <w:gridCol w:w="733"/>
        <w:gridCol w:w="733"/>
        <w:gridCol w:w="733"/>
        <w:gridCol w:w="733"/>
        <w:gridCol w:w="733"/>
        <w:gridCol w:w="733"/>
        <w:gridCol w:w="733"/>
        <w:gridCol w:w="736"/>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CE7019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CE7020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CE7727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CE7701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CE7018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CE7017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ce.org.uk/" TargetMode="External"/><Relationship Id="rId18" Type="http://schemas.openxmlformats.org/officeDocument/2006/relationships/numbering" Target="numbering.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docs/qaa/subject-benchmark-statements/subject-benchmark-statement-land-construction-real-estate-and-surveying.pdf?sfvrsn=f9f3c881_4" TargetMode="External"/><Relationship Id="rId17" Type="http://schemas.openxmlformats.org/officeDocument/2006/relationships/theme" Target="theme/theme1.xml"/><Relationship Id="rId7" Type="http://schemas.openxmlformats.org/officeDocument/2006/relationships/customXml" Target="../customXml/item4.xml"/><Relationship Id="rId16" Type="http://schemas.openxmlformats.org/officeDocument/2006/relationships/hyperlink" Target="http://www.ciht.org.uk/" TargetMode="Externa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sbs/sbs-engineering-23.pdf?sfvrsn=7c71a881_4" TargetMode="External"/><Relationship Id="rId6" Type="http://schemas.openxmlformats.org/officeDocument/2006/relationships/customXml" Target="../customXml/item3.xml"/><Relationship Id="rId15" Type="http://schemas.openxmlformats.org/officeDocument/2006/relationships/hyperlink" Target="http://www.theihe.org/" TargetMode="External"/><Relationship Id="rId10" Type="http://schemas.openxmlformats.org/officeDocument/2006/relationships/footer" Target="footer1.xml"/><Relationship Id="rId19" Type="http://schemas.openxmlformats.org/officeDocument/2006/relationships/styles" Target="styles.xml"/><Relationship Id="rId14" Type="http://schemas.openxmlformats.org/officeDocument/2006/relationships/hyperlink" Target="http://www.istructe.org/" TargetMode="Externa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2B541BA5-81D6-48DF-BB58-D629C33D064A}"/>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