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Software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 Metro Campus, Sri Lanka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Software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Software Engineering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Postgraduate Certificate Software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G600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Sri Lanka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Campuses in Colombo, Kandy and Jaffna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for the MSc programme are normally required to have a good honours degree in IT, Computer Science, Software Engineering or the academic equivalent</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Exceptionally applicants may have no first degree but 5+ years </w:t>
            </w:r>
            <w:r w:rsidRPr="2030048C">
              <w:rPr>
                <w:rStyle w:val="normaltextrun"/>
                <w:rFonts w:ascii="Arial" w:eastAsia="Arial" w:hAnsi="Arial" w:cs="Arial"/>
                <w:b w:val="0"/>
                <w:bCs w:val="0"/>
                <w:color w:val="000000"/>
                <w:sz w:val="24"/>
                <w:szCs w:val="24"/>
                <w:shd w:val="clear" w:color="auto" w:fill="FFFFFF"/>
              </w:rPr>
              <w:t>working in a software design and development area. In this case, there must be strong evidence that the applicant has the motivation to complete the course and the ability to work at this l</w:t>
            </w:r>
            <w:r w:rsidRPr="2030048C">
              <w:rPr>
                <w:rStyle w:val="normaltextrun"/>
                <w:rFonts w:ascii="Arial" w:eastAsia="Arial" w:hAnsi="Arial" w:cs="Arial"/>
                <w:b w:val="0"/>
                <w:bCs w:val="0"/>
                <w:color w:val="000000"/>
                <w:sz w:val="24"/>
                <w:szCs w:val="24"/>
                <w:shd w:val="clear" w:color="auto" w:fill="FFFFFF"/>
              </w:rPr>
              <w:t>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Both of these types of applicants will benefit from the adva</w:t>
            </w:r>
            <w:r w:rsidRPr="2030048C">
              <w:rPr>
                <w:rStyle w:val="normaltextrun"/>
                <w:rFonts w:ascii="Arial" w:eastAsia="Arial" w:hAnsi="Arial" w:cs="Arial"/>
                <w:b w:val="0"/>
                <w:bCs w:val="0"/>
                <w:color w:val="000000"/>
                <w:sz w:val="24"/>
                <w:szCs w:val="24"/>
                <w:shd w:val="clear" w:color="auto" w:fill="FFFFFF"/>
              </w:rPr>
              <w:t>nced and specialised nature of the technical and business knowledge covered in the course that is designed to build on the knowledge they already possess.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Overseas students are </w:t>
            </w:r>
            <w:r w:rsidRPr="2030048C">
              <w:rPr>
                <w:rStyle w:val="normaltextrun"/>
                <w:rFonts w:ascii="Arial" w:eastAsia="Arial" w:hAnsi="Arial" w:cs="Arial"/>
                <w:b w:val="0"/>
                <w:bCs w:val="0"/>
                <w:color w:val="000000"/>
                <w:sz w:val="24"/>
                <w:szCs w:val="24"/>
                <w:shd w:val="clear" w:color="auto" w:fill="FFFFFF"/>
              </w:rPr>
              <w:t>required to satisfy the Admissions Officer that they have reached an equivalen</w:t>
            </w:r>
            <w:r w:rsidRPr="2030048C">
              <w:rPr>
                <w:rStyle w:val="normaltextrun"/>
                <w:rFonts w:ascii="Arial" w:eastAsia="Arial" w:hAnsi="Arial" w:cs="Arial"/>
                <w:b w:val="0"/>
                <w:bCs w:val="0"/>
                <w:color w:val="000000"/>
                <w:sz w:val="24"/>
                <w:szCs w:val="24"/>
                <w:shd w:val="clear" w:color="auto" w:fill="FFFFFF"/>
              </w:rPr>
              <w:t>t academic standard as those required for home students.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IELTS – minimum 6.5 overall, including a minimum of 6.0 in writing, and a minimum of 5.5 in </w:t>
            </w:r>
            <w:r w:rsidRPr="2030048C">
              <w:rPr>
                <w:rStyle w:val="normaltextrun"/>
                <w:rFonts w:ascii="Arial" w:eastAsia="Arial" w:hAnsi="Arial" w:cs="Arial"/>
                <w:b w:val="0"/>
                <w:bCs w:val="0"/>
                <w:color w:val="000000"/>
                <w:sz w:val="24"/>
                <w:szCs w:val="24"/>
                <w:shd w:val="clear" w:color="auto" w:fill="FFFFFF"/>
              </w:rPr>
              <w:t>reading, listening and speaking</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TOEFL IBT with overall score of 88, inc min score o</w:t>
            </w:r>
            <w:r w:rsidRPr="2030048C">
              <w:rPr>
                <w:rStyle w:val="normaltextrun"/>
                <w:rFonts w:ascii="Arial" w:eastAsia="Arial" w:hAnsi="Arial" w:cs="Arial"/>
                <w:b w:val="0"/>
                <w:bCs w:val="0"/>
                <w:color w:val="000000"/>
                <w:sz w:val="24"/>
                <w:szCs w:val="24"/>
                <w:shd w:val="clear" w:color="auto" w:fill="FFFFFF"/>
              </w:rPr>
              <w:t>f 20/30 Writing, 20/30 Reading, 17/30 Listening and 20/30 Speaking</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Kingston University also approved the following mapping as equivalent alternatives to IELTS requirements </w:t>
            </w:r>
            <w:r w:rsidRPr="2030048C">
              <w:rPr>
                <w:rStyle w:val="normaltextrun"/>
                <w:rFonts w:ascii="Arial" w:eastAsia="Arial" w:hAnsi="Arial" w:cs="Arial"/>
                <w:b w:val="0"/>
                <w:bCs w:val="0"/>
                <w:color w:val="000000"/>
                <w:sz w:val="24"/>
                <w:szCs w:val="24"/>
                <w:shd w:val="clear" w:color="auto" w:fill="FFFFFF"/>
              </w:rPr>
              <w:t>for entry into franchised programmes to be delivered at ESOFT in Sri Lanka;</w:t>
            </w:r>
          </w:p>
          <w:p w:rsidRPr="2030048C" w:rsidP="2030048C">
            <w:pPr>
              <w:numPr>
                <w:ilvl w:val="0"/>
                <w:numId w:val="12"/>
              </w:numPr>
              <w:ind w:left="720" w:right="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Local G</w:t>
            </w:r>
            <w:r w:rsidRPr="2030048C">
              <w:rPr>
                <w:rStyle w:val="normaltextrun"/>
                <w:rFonts w:ascii="Arial" w:eastAsia="Arial" w:hAnsi="Arial" w:cs="Arial"/>
                <w:b w:val="0"/>
                <w:bCs w:val="0"/>
                <w:color w:val="000000"/>
                <w:sz w:val="24"/>
                <w:szCs w:val="24"/>
                <w:shd w:val="clear" w:color="auto" w:fill="FFFFFF"/>
              </w:rPr>
              <w:t>CE O Level English language</w:t>
            </w:r>
            <w:r w:rsidRPr="2030048C">
              <w:rPr>
                <w:rStyle w:val="normaltextrun"/>
                <w:rFonts w:ascii="Arial" w:eastAsia="Arial" w:hAnsi="Arial" w:cs="Arial"/>
                <w:b w:val="0"/>
                <w:bCs w:val="0"/>
                <w:color w:val="000000"/>
                <w:sz w:val="24"/>
                <w:szCs w:val="24"/>
                <w:shd w:val="clear" w:color="auto" w:fill="FFFFFF"/>
              </w:rPr>
              <w:t xml:space="preserve">: Credit, Distinction or Very good pass </w:t>
            </w:r>
          </w:p>
          <w:p w:rsidRPr="2030048C" w:rsidP="2030048C">
            <w:pPr>
              <w:numPr>
                <w:ilvl w:val="0"/>
                <w:numId w:val="12"/>
              </w:numPr>
              <w:ind w:left="720" w:right="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ESOFT English for Academic Purposes modules in reading, writing, listening and speaking: results which equate to our normal entry conditions in the following ways (*NB: The overall grade to be an average of the four skills module results.) </w:t>
            </w:r>
          </w:p>
          <w:tbl>
            <w:tblPr>
              <w:tblCellSpacing w:w="15" w:type="dxa"/>
              <w:tblCellMar>
                <w:top w:w="15" w:type="dxa"/>
                <w:left w:w="15" w:type="dxa"/>
                <w:bottom w:w="15" w:type="dxa"/>
                <w:right w:w="15" w:type="dxa"/>
              </w:tblCellMar>
            </w:tblPr>
            <w:tblGrid>
              <w:gridCol w:w="701"/>
              <w:gridCol w:w="902"/>
            </w:tblGrid>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ESOFT</w:t>
                  </w:r>
                </w:p>
              </w:tc>
            </w:tr>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6.5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58+</w:t>
                  </w:r>
                </w:p>
              </w:tc>
            </w:tr>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6.0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50-57</w:t>
                  </w:r>
                </w:p>
              </w:tc>
            </w:tr>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42-49</w:t>
                  </w:r>
                </w:p>
              </w:tc>
            </w:tr>
          </w:tbl>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0"/>
                <w:szCs w:val="20"/>
                <w:shd w:val="clear" w:color="auto" w:fill="FFFFFF"/>
              </w:rPr>
            </w:pPr>
            <w:r w:rsidRPr="2030048C">
              <w:rPr>
                <w:rStyle w:val="normaltextrun"/>
                <w:rFonts w:ascii="Arial" w:eastAsia="Arial" w:hAnsi="Arial" w:cs="Arial"/>
                <w:b w:val="0"/>
                <w:bCs w:val="0"/>
                <w:color w:val="000000"/>
                <w:sz w:val="20"/>
                <w:szCs w:val="20"/>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not permitted.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cell"/>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xml:space="preserve">The Aims of the Course are to: </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Equip students with the capability to exploit software engineering </w:t>
      </w:r>
      <w:r w:rsidRPr="2030048C">
        <w:rPr>
          <w:rStyle w:val="normaltextrun"/>
          <w:rFonts w:ascii="Arial" w:hAnsi="Arial" w:cs="Arial"/>
          <w:color w:val="000000" w:themeColor="text1"/>
          <w:sz w:val="24"/>
          <w:szCs w:val="24"/>
          <w:shd w:val="clear" w:color="auto" w:fill="FFFFFF"/>
        </w:rPr>
        <w:t>methods, tools and design skills which will enable them to design and develop applications for organisa</w:t>
      </w:r>
      <w:r w:rsidRPr="2030048C">
        <w:rPr>
          <w:rStyle w:val="normaltextrun"/>
          <w:rFonts w:ascii="Arial" w:hAnsi="Arial" w:cs="Arial"/>
          <w:color w:val="000000" w:themeColor="text1"/>
          <w:sz w:val="24"/>
          <w:szCs w:val="24"/>
          <w:shd w:val="clear" w:color="auto" w:fill="FFFFFF"/>
        </w:rPr>
        <w:t>tions in the 21st century.</w:t>
      </w:r>
    </w:p>
    <w:p w:rsidRPr="2030048C" w:rsidP="2030048C">
      <w:pPr>
        <w:pStyle w:val="ListParagraph"/>
        <w:numPr>
          <w:ilvl w:val="0"/>
          <w:numId w:val="14"/>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a student’s job performance and enable him/her to contribute effectively to the knowledge base of the employer.</w:t>
      </w:r>
    </w:p>
    <w:p w:rsidRPr="2030048C" w:rsidP="2030048C">
      <w:pPr>
        <w:pStyle w:val="ListParagraph"/>
        <w:numPr>
          <w:ilvl w:val="0"/>
          <w:numId w:val="14"/>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w:t>
      </w:r>
      <w:r w:rsidRPr="2030048C">
        <w:rPr>
          <w:rStyle w:val="normaltextrun"/>
          <w:rFonts w:ascii="Arial" w:hAnsi="Arial" w:cs="Arial"/>
          <w:color w:val="000000" w:themeColor="text1"/>
          <w:sz w:val="24"/>
          <w:szCs w:val="24"/>
          <w:shd w:val="clear" w:color="auto" w:fill="FFFFFF"/>
        </w:rPr>
        <w:t>tudents the means to explore in detail the technical delivery architecture, systems integration, and co</w:t>
      </w:r>
      <w:r w:rsidRPr="2030048C">
        <w:rPr>
          <w:rStyle w:val="normaltextrun"/>
          <w:rFonts w:ascii="Arial" w:hAnsi="Arial" w:cs="Arial"/>
          <w:color w:val="000000" w:themeColor="text1"/>
          <w:sz w:val="24"/>
          <w:szCs w:val="24"/>
          <w:shd w:val="clear" w:color="auto" w:fill="FFFFFF"/>
        </w:rPr>
        <w:t>nsumer facing software systems.</w:t>
      </w:r>
    </w:p>
    <w:p w:rsidRPr="2030048C" w:rsidP="2030048C">
      <w:pPr>
        <w:pStyle w:val="ListParagraph"/>
        <w:numPr>
          <w:ilvl w:val="0"/>
          <w:numId w:val="15"/>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Maintain productive links with industry which provide sufficient background for an industrial/commercial dimension to the</w:t>
      </w:r>
      <w:r w:rsidRPr="2030048C">
        <w:rPr>
          <w:rStyle w:val="normaltextrun"/>
          <w:rFonts w:ascii="Arial" w:hAnsi="Arial" w:cs="Arial"/>
          <w:color w:val="000000" w:themeColor="text1"/>
          <w:sz w:val="24"/>
          <w:szCs w:val="24"/>
          <w:shd w:val="clear" w:color="auto" w:fill="FFFFFF"/>
        </w:rPr>
        <w:t xml:space="preserve"> course.</w:t>
      </w:r>
    </w:p>
    <w:p w:rsidRPr="2030048C" w:rsidP="2030048C">
      <w:pPr>
        <w:pStyle w:val="ListParagraph"/>
        <w:numPr>
          <w:ilvl w:val="0"/>
          <w:numId w:val="15"/>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Undertake continuing professional development and updating for established IT professionals.</w:t>
      </w:r>
    </w:p>
    <w:p w:rsidRPr="2030048C" w:rsidP="2030048C">
      <w:pPr>
        <w:pStyle w:val="ListParagraph"/>
        <w:numPr>
          <w:ilvl w:val="0"/>
          <w:numId w:val="16"/>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 xml:space="preserve">mplant an enquiring, analytical and creative approach to both personal and professional activities that leads to the critical and responsible use of informed and independent judgement. </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Undertake a more effective role in software systems design and develo</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ment.</w:t>
      </w:r>
    </w:p>
    <w:p w:rsidRPr="2030048C" w:rsidP="2030048C">
      <w:pPr>
        <w:pStyle w:val="ListParagraph"/>
        <w:numPr>
          <w:ilvl w:val="0"/>
          <w:numId w:val="18"/>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Gain a solid foundation in this specialist area, building on knowledge and skills gained from students individual backgrounds. </w:t>
      </w:r>
    </w:p>
    <w:p w:rsidRPr="2030048C" w:rsidP="2030048C">
      <w:pPr>
        <w:pStyle w:val="ListParagraph"/>
        <w:numPr>
          <w:ilvl w:val="0"/>
          <w:numId w:val="18"/>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Have an in-depth understanding of the new software development strategies and architectures appropriate to the design of </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 xml:space="preserve">nternet-oriented applications. </w:t>
      </w:r>
    </w:p>
    <w:p w:rsidRPr="2030048C" w:rsidP="2030048C">
      <w:pPr>
        <w:pStyle w:val="ListParagraph"/>
        <w:numPr>
          <w:ilvl w:val="0"/>
          <w:numId w:val="19"/>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an opportunity to study a subject area which is relevant to the field but also satisfies the individual's background and experience.</w:t>
      </w:r>
    </w:p>
    <w:p w:rsidRPr="2030048C" w:rsidP="2030048C">
      <w:pPr>
        <w:pStyle w:val="ListParagraph"/>
        <w:numPr>
          <w:ilvl w:val="0"/>
          <w:numId w:val="20"/>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ability to apply specialised knowledge and skills to the analysis and soluti</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n of novel problems in commerce and the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processes necessary to assure the quality  of complex systems, and to select, configure and utilise tools for cost effective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Specify and design systems architecture as appropriate and consider necessary trade-offs between centralised and distributed architectures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the quality of software and optimise the process of its production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tools and technologies necessary for business application design and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Build upon the experience and responsibility gained as a result of the practical application of the skills acquired during the course to make a significant contribution as a computing or information systems professional within an organization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optimal software architectures using appropriate methods and technologies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ethical, legal and professional issues in the development of software applications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define the business context that software applications can sit within, and across (e.g. a collaborative service scenario).</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and select appropriate software engineering tools for a software development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Current developments in Software Engineering and their potential and limitations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Specify software that meets the needs and aspiration of the users. This specification should include a conceptual data model for Web business applications, identifying entities and attributes, using a recognised notation.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Software engineering principles and practical techniques required for the design and development of Web business applications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effectively a wide range of methods, tools and techniques used in the design and development of software applications.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in the area of software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r w:rsidRPr="2030048C">
        <w:rPr>
          <w:rFonts w:ascii="Arial" w:eastAsia="Arial" w:hAnsi="Arial" w:cs="Arial"/>
          <w:color w:val="000000" w:themeColor="text1" w:themeShade="FF" w:themeTint="FF"/>
          <w:sz w:val="24"/>
          <w:szCs w:val="24"/>
        </w:rPr>
        <w:drawing>
          <wp:inline>
            <wp:extent cx="10325100" cy="1080135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10325100" cy="10801350"/>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time students: Complete four modules over two Teaching Blocks (TB), two modules per TB. Complete the Core Modules and the Project Dissertation in the same academic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Part time students: Complete four modules over f</w:t>
      </w:r>
      <w:r w:rsidRPr="2030048C">
        <w:rPr>
          <w:rFonts w:ascii="Arial" w:eastAsia="Arial" w:hAnsi="Arial" w:cs="Arial"/>
          <w:color w:val="000000" w:themeColor="text1" w:themeShade="FF" w:themeTint="FF"/>
          <w:sz w:val="24"/>
          <w:szCs w:val="24"/>
        </w:rPr>
        <w:t>our TBs, one module per TB (Two</w:t>
      </w:r>
      <w:r w:rsidRPr="2030048C">
        <w:rPr>
          <w:rFonts w:ascii="Arial" w:eastAsia="Arial" w:hAnsi="Arial" w:cs="Arial"/>
          <w:color w:val="000000" w:themeColor="text1" w:themeShade="FF" w:themeTint="FF"/>
          <w:sz w:val="24"/>
          <w:szCs w:val="24"/>
        </w:rPr>
        <w:t xml:space="preserve"> modules per academic year) and project Dissertation in the second academic year.</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Complete the Core Modules and the Project Dissertation within two academic years.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TB1 for January intake is typically January to April, TB2 </w:t>
      </w:r>
      <w:r w:rsidRPr="2030048C">
        <w:rPr>
          <w:rFonts w:ascii="Arial" w:eastAsia="Arial" w:hAnsi="Arial" w:cs="Arial"/>
          <w:color w:val="000000" w:themeColor="text1" w:themeShade="FF" w:themeTint="FF"/>
          <w:sz w:val="24"/>
          <w:szCs w:val="24"/>
        </w:rPr>
        <w:t>is September to December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TB1 fo</w:t>
      </w:r>
      <w:r w:rsidRPr="2030048C">
        <w:rPr>
          <w:rFonts w:ascii="Arial" w:eastAsia="Arial" w:hAnsi="Arial" w:cs="Arial"/>
          <w:color w:val="000000" w:themeColor="text1" w:themeShade="FF" w:themeTint="FF"/>
          <w:sz w:val="24"/>
          <w:szCs w:val="24"/>
        </w:rPr>
        <w:t>r September intake is typically September to December, TB2 is January to April</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Project Dissertation Start/End: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January intake: starts in May, Submission in January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September intake: starts in April, Submission in September</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made up of f</w:t>
      </w:r>
      <w:r w:rsidRPr="2030048C">
        <w:rPr>
          <w:rFonts w:ascii="Arial" w:eastAsia="Arial" w:hAnsi="Arial" w:cs="Arial"/>
          <w:color w:val="000000" w:themeColor="text1" w:themeShade="FF" w:themeTint="FF"/>
          <w:sz w:val="24"/>
          <w:szCs w:val="24"/>
        </w:rPr>
        <w:t xml:space="preserve">our modules each worth 30 credit points plus a capstone project worth 60 credits. All students will be provided with the Kingston University regulations. Full details of each module will be provided in module descriptors and </w:t>
      </w:r>
      <w:r w:rsidRPr="2030048C">
        <w:rPr>
          <w:rFonts w:ascii="Arial" w:eastAsia="Arial" w:hAnsi="Arial" w:cs="Arial"/>
          <w:color w:val="000000" w:themeColor="text1" w:themeShade="FF" w:themeTint="FF"/>
          <w:sz w:val="24"/>
          <w:szCs w:val="24"/>
        </w:rPr>
        <w:t>student module guides.</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w:t>
      </w:r>
      <w:r w:rsidRPr="2030048C">
        <w:rPr>
          <w:rFonts w:ascii="Arial" w:eastAsia="Arial" w:hAnsi="Arial" w:cs="Arial"/>
          <w:color w:val="000000" w:themeColor="text1" w:themeShade="FF" w:themeTint="FF"/>
          <w:sz w:val="24"/>
          <w:szCs w:val="24"/>
        </w:rPr>
        <w:t xml:space="preserve"> 7 requires the completion of the four compulsory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Software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Software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Agile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CI7350E</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Data Programming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CI7000E</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Software Architecture and Programming Models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CI7250E</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Software Quality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CI7260E</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rPr>
          <w:rFonts w:ascii="Arial" w:eastAsia="Arial" w:hAnsi="Arial" w:cs="Arial"/>
          <w:sz w:val="24"/>
          <w:szCs w:val="24"/>
        </w:rPr>
      </w:pPr>
      <w:r w:rsidRPr="2030048C">
        <w:rPr>
          <w:rFonts w:ascii="Arial" w:eastAsia="Arial" w:hAnsi="Arial" w:cs="Arial"/>
          <w:sz w:val="24"/>
          <w:szCs w:val="24"/>
        </w:rPr>
        <w:t>The School’s broad stra</w:t>
      </w:r>
      <w:r w:rsidRPr="2030048C">
        <w:rPr>
          <w:rFonts w:ascii="Arial" w:eastAsia="Arial" w:hAnsi="Arial" w:cs="Arial"/>
          <w:sz w:val="24"/>
          <w:szCs w:val="24"/>
        </w:rPr>
        <w:t>tegy</w:t>
      </w:r>
      <w:r w:rsidRPr="2030048C">
        <w:rPr>
          <w:rFonts w:ascii="Arial" w:eastAsia="Arial" w:hAnsi="Arial" w:cs="Arial"/>
          <w:sz w:val="24"/>
          <w:szCs w:val="24"/>
        </w:rPr>
        <w:t xml:space="preserve"> of aiming for problem-centred teaching and accessible, relevant (authentic) artefact-based assessment (assessment of learning by doing/creating) was created in recognition of this. The course adopts the University’s Inclusive Curric</w:t>
      </w:r>
      <w:r w:rsidRPr="2030048C">
        <w:rPr>
          <w:rFonts w:ascii="Arial" w:eastAsia="Arial" w:hAnsi="Arial" w:cs="Arial"/>
          <w:sz w:val="24"/>
          <w:szCs w:val="24"/>
        </w:rPr>
        <w:t>ulum Design Princip</w:t>
      </w:r>
      <w:r w:rsidRPr="2030048C">
        <w:rPr>
          <w:rFonts w:ascii="Arial" w:eastAsia="Arial" w:hAnsi="Arial" w:cs="Arial"/>
          <w:sz w:val="24"/>
          <w:szCs w:val="24"/>
        </w:rPr>
        <w:t xml:space="preserve">les </w:t>
      </w:r>
      <w:r w:rsidRPr="2030048C">
        <w:rPr>
          <w:rFonts w:ascii="Arial" w:eastAsia="Arial" w:hAnsi="Arial" w:cs="Arial"/>
          <w:sz w:val="24"/>
          <w:szCs w:val="24"/>
        </w:rPr>
        <w:t>to cater for this diversity and define the approaches to learning, teaching and assessment (LTA), pastoral care and employability with the following broad principles: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An inclusive curriculum with the student at the heart of the learning process encour</w:t>
      </w:r>
      <w:r w:rsidRPr="2030048C">
        <w:rPr>
          <w:rFonts w:ascii="Arial" w:eastAsia="Arial" w:hAnsi="Arial" w:cs="Arial"/>
          <w:sz w:val="24"/>
          <w:szCs w:val="24"/>
        </w:rPr>
        <w:t>agin</w:t>
      </w:r>
      <w:r w:rsidRPr="2030048C">
        <w:rPr>
          <w:rFonts w:ascii="Arial" w:eastAsia="Arial" w:hAnsi="Arial" w:cs="Arial"/>
          <w:sz w:val="24"/>
          <w:szCs w:val="24"/>
        </w:rPr>
        <w:t>g choice in their focussed topics for investigation within the prescribed module assignment formats (where practical) and sharing experiences and perspectives within th</w:t>
      </w:r>
      <w:r w:rsidRPr="2030048C">
        <w:rPr>
          <w:rFonts w:ascii="Arial" w:eastAsia="Arial" w:hAnsi="Arial" w:cs="Arial"/>
          <w:sz w:val="24"/>
          <w:szCs w:val="24"/>
        </w:rPr>
        <w:t>e course through discussion and presentation of results.</w:t>
      </w:r>
      <w:r w:rsidRPr="2030048C">
        <w:rPr>
          <w:rFonts w:ascii="Arial" w:eastAsia="Arial" w:hAnsi="Arial" w:cs="Arial"/>
          <w:sz w:val="24"/>
          <w:szCs w:val="24"/>
        </w:rPr>
        <w:t xml:space="preserve">  </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 xml:space="preserve">Module descriptors adopt </w:t>
      </w:r>
      <w:r w:rsidRPr="2030048C">
        <w:rPr>
          <w:rFonts w:ascii="Arial" w:eastAsia="Arial" w:hAnsi="Arial" w:cs="Arial"/>
          <w:sz w:val="24"/>
          <w:szCs w:val="24"/>
        </w:rPr>
        <w:t>prob</w:t>
      </w:r>
      <w:r w:rsidRPr="2030048C">
        <w:rPr>
          <w:rFonts w:ascii="Arial" w:eastAsia="Arial" w:hAnsi="Arial" w:cs="Arial"/>
          <w:sz w:val="24"/>
          <w:szCs w:val="24"/>
        </w:rPr>
        <w:t xml:space="preserve">lem-centred approaches which in turn facilitate an inclusive learning environment. </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Curricula and approaches to LTA allow for expression of cohorts’ experiences and per</w:t>
      </w:r>
      <w:r w:rsidRPr="2030048C">
        <w:rPr>
          <w:rFonts w:ascii="Arial" w:eastAsia="Arial" w:hAnsi="Arial" w:cs="Arial"/>
          <w:sz w:val="24"/>
          <w:szCs w:val="24"/>
        </w:rPr>
        <w:t>spectives, ultimately for sharing and shaping understanding together.</w:t>
      </w:r>
      <w:r w:rsidRPr="2030048C">
        <w:rPr>
          <w:rFonts w:ascii="Arial" w:eastAsia="Arial" w:hAnsi="Arial" w:cs="Arial"/>
          <w:sz w:val="24"/>
          <w:szCs w:val="24"/>
        </w:rPr>
        <w:t xml:space="preserve">  </w:t>
      </w:r>
      <w:r w:rsidRPr="2030048C">
        <w:rPr>
          <w:rFonts w:ascii="Arial" w:eastAsia="Arial" w:hAnsi="Arial" w:cs="Arial"/>
          <w:sz w:val="24"/>
          <w:szCs w:val="24"/>
        </w:rPr>
        <w:t>Modules and t</w:t>
      </w:r>
      <w:r w:rsidRPr="2030048C">
        <w:rPr>
          <w:rFonts w:ascii="Arial" w:eastAsia="Arial" w:hAnsi="Arial" w:cs="Arial"/>
          <w:sz w:val="24"/>
          <w:szCs w:val="24"/>
        </w:rPr>
        <w:t>he d</w:t>
      </w:r>
      <w:r w:rsidRPr="2030048C">
        <w:rPr>
          <w:rFonts w:ascii="Arial" w:eastAsia="Arial" w:hAnsi="Arial" w:cs="Arial"/>
          <w:sz w:val="24"/>
          <w:szCs w:val="24"/>
        </w:rPr>
        <w:t>issertation challenge students’ epistemological and ontological approaches to the study of Software Engineering, including software and its legal, social and ethical as</w:t>
      </w:r>
      <w:r w:rsidRPr="2030048C">
        <w:rPr>
          <w:rFonts w:ascii="Arial" w:eastAsia="Arial" w:hAnsi="Arial" w:cs="Arial"/>
          <w:sz w:val="24"/>
          <w:szCs w:val="24"/>
        </w:rPr>
        <w:t>pects, data presentation and the impact on society and the interpretation of busines</w:t>
      </w:r>
      <w:r w:rsidRPr="2030048C">
        <w:rPr>
          <w:rFonts w:ascii="Arial" w:eastAsia="Arial" w:hAnsi="Arial" w:cs="Arial"/>
          <w:sz w:val="24"/>
          <w:szCs w:val="24"/>
        </w:rPr>
        <w:t>s st</w:t>
      </w:r>
      <w:r w:rsidRPr="2030048C">
        <w:rPr>
          <w:rFonts w:ascii="Arial" w:eastAsia="Arial" w:hAnsi="Arial" w:cs="Arial"/>
          <w:sz w:val="24"/>
          <w:szCs w:val="24"/>
        </w:rPr>
        <w:t>rategy and the development of information systems to support the business. Also to develop approaches to critical evaluation of current and future knowledge.</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Teaching s</w:t>
      </w:r>
      <w:r w:rsidRPr="2030048C">
        <w:rPr>
          <w:rFonts w:ascii="Arial" w:eastAsia="Arial" w:hAnsi="Arial" w:cs="Arial"/>
          <w:sz w:val="24"/>
          <w:szCs w:val="24"/>
        </w:rPr>
        <w:t>essions are problem-centred, predominantly workshop-based, and necessarily interacti</w:t>
      </w:r>
      <w:r w:rsidRPr="2030048C">
        <w:rPr>
          <w:rFonts w:ascii="Arial" w:eastAsia="Arial" w:hAnsi="Arial" w:cs="Arial"/>
          <w:sz w:val="24"/>
          <w:szCs w:val="24"/>
        </w:rPr>
        <w:t>ve t</w:t>
      </w:r>
      <w:r w:rsidRPr="2030048C">
        <w:rPr>
          <w:rFonts w:ascii="Arial" w:eastAsia="Arial" w:hAnsi="Arial" w:cs="Arial"/>
          <w:sz w:val="24"/>
          <w:szCs w:val="24"/>
        </w:rPr>
        <w:t>o make best use of the intensive weeks of study interspersed with directed study. Workshops and the use of the VLE (or other cohort-inspired networking tools) allow stu</w:t>
      </w:r>
      <w:r w:rsidRPr="2030048C">
        <w:rPr>
          <w:rFonts w:ascii="Arial" w:eastAsia="Arial" w:hAnsi="Arial" w:cs="Arial"/>
          <w:sz w:val="24"/>
          <w:szCs w:val="24"/>
        </w:rPr>
        <w:t>dents to investigate and share their understanding of new concepts, techniques and t</w:t>
      </w:r>
      <w:r w:rsidRPr="2030048C">
        <w:rPr>
          <w:rFonts w:ascii="Arial" w:eastAsia="Arial" w:hAnsi="Arial" w:cs="Arial"/>
          <w:sz w:val="24"/>
          <w:szCs w:val="24"/>
        </w:rPr>
        <w:t>echn</w:t>
      </w:r>
      <w:r w:rsidRPr="2030048C">
        <w:rPr>
          <w:rFonts w:ascii="Arial" w:eastAsia="Arial" w:hAnsi="Arial" w:cs="Arial"/>
          <w:sz w:val="24"/>
          <w:szCs w:val="24"/>
        </w:rPr>
        <w:t>ologies. This approach is also designed to enhance their practical competency and confidence when dealing with a range of “users” (recognising the diversity of Software</w:t>
      </w:r>
      <w:r w:rsidRPr="2030048C">
        <w:rPr>
          <w:rFonts w:ascii="Arial" w:eastAsia="Arial" w:hAnsi="Arial" w:cs="Arial"/>
          <w:sz w:val="24"/>
          <w:szCs w:val="24"/>
        </w:rPr>
        <w:t xml:space="preserve"> Engineering teams and roles).</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The delivery is research informed, taking advantage o</w:t>
      </w:r>
      <w:r w:rsidRPr="2030048C">
        <w:rPr>
          <w:rFonts w:ascii="Arial" w:eastAsia="Arial" w:hAnsi="Arial" w:cs="Arial"/>
          <w:sz w:val="24"/>
          <w:szCs w:val="24"/>
        </w:rPr>
        <w:t>f CS</w:t>
      </w:r>
      <w:r w:rsidRPr="2030048C">
        <w:rPr>
          <w:rFonts w:ascii="Arial" w:eastAsia="Arial" w:hAnsi="Arial" w:cs="Arial"/>
          <w:sz w:val="24"/>
          <w:szCs w:val="24"/>
        </w:rPr>
        <w:t>M’s diverse research portfolio, dynamically updated in accordance with advances in the field.</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Modules incorporate opportunities to explore current developments in the f</w:t>
      </w:r>
      <w:r w:rsidRPr="2030048C">
        <w:rPr>
          <w:rFonts w:ascii="Arial" w:eastAsia="Arial" w:hAnsi="Arial" w:cs="Arial"/>
          <w:sz w:val="24"/>
          <w:szCs w:val="24"/>
        </w:rPr>
        <w:t>ield, in practice and applied settings incorporating student perspectives, real worl</w:t>
      </w:r>
      <w:r w:rsidRPr="2030048C">
        <w:rPr>
          <w:rFonts w:ascii="Arial" w:eastAsia="Arial" w:hAnsi="Arial" w:cs="Arial"/>
          <w:sz w:val="24"/>
          <w:szCs w:val="24"/>
        </w:rPr>
        <w:t>d si</w:t>
      </w:r>
      <w:r w:rsidRPr="2030048C">
        <w:rPr>
          <w:rFonts w:ascii="Arial" w:eastAsia="Arial" w:hAnsi="Arial" w:cs="Arial"/>
          <w:sz w:val="24"/>
          <w:szCs w:val="24"/>
        </w:rPr>
        <w:t>tuations, problem solving and task based learning.</w:t>
      </w:r>
      <w:r w:rsidRPr="2030048C">
        <w:rPr>
          <w:rFonts w:ascii="Arial" w:eastAsia="Arial" w:hAnsi="Arial" w:cs="Arial"/>
          <w:sz w:val="24"/>
          <w:szCs w:val="24"/>
        </w:rPr>
        <w:t xml:space="preserve">  </w:t>
      </w:r>
      <w:r w:rsidRPr="2030048C">
        <w:rPr>
          <w:rFonts w:ascii="Arial" w:eastAsia="Arial" w:hAnsi="Arial" w:cs="Arial"/>
          <w:sz w:val="24"/>
          <w:szCs w:val="24"/>
        </w:rPr>
        <w:t>Content includes the opportunity for students to personalise the topics being explored and allow them to adapt summa</w:t>
      </w:r>
      <w:r w:rsidRPr="2030048C">
        <w:rPr>
          <w:rFonts w:ascii="Arial" w:eastAsia="Arial" w:hAnsi="Arial" w:cs="Arial"/>
          <w:sz w:val="24"/>
          <w:szCs w:val="24"/>
        </w:rPr>
        <w:t>tive assessments towards their personal interests and motivations, where practical</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T</w:t>
      </w:r>
      <w:r w:rsidRPr="2030048C">
        <w:rPr>
          <w:rFonts w:ascii="Arial" w:eastAsia="Arial" w:hAnsi="Arial" w:cs="Arial"/>
          <w:sz w:val="24"/>
          <w:szCs w:val="24"/>
        </w:rPr>
        <w:t>each</w:t>
      </w:r>
      <w:r w:rsidRPr="2030048C">
        <w:rPr>
          <w:rFonts w:ascii="Arial" w:eastAsia="Arial" w:hAnsi="Arial" w:cs="Arial"/>
          <w:sz w:val="24"/>
          <w:szCs w:val="24"/>
        </w:rPr>
        <w:t>ing teams draw on the academic strengths and research interests of staff and use invited speakers and experts from research and industry to bolster the curriculum.</w:t>
      </w:r>
      <w:r w:rsidRPr="2030048C">
        <w:rPr>
          <w:rFonts w:ascii="Arial" w:eastAsia="Arial" w:hAnsi="Arial" w:cs="Arial"/>
          <w:sz w:val="24"/>
          <w:szCs w:val="24"/>
        </w:rPr>
        <w:t xml:space="preserve">  </w:t>
      </w:r>
      <w:r w:rsidRPr="2030048C">
        <w:rPr>
          <w:rFonts w:ascii="Arial" w:eastAsia="Arial" w:hAnsi="Arial" w:cs="Arial"/>
          <w:sz w:val="24"/>
          <w:szCs w:val="24"/>
        </w:rPr>
        <w:t>Thi</w:t>
      </w:r>
      <w:r w:rsidRPr="2030048C">
        <w:rPr>
          <w:rFonts w:ascii="Arial" w:eastAsia="Arial" w:hAnsi="Arial" w:cs="Arial"/>
          <w:sz w:val="24"/>
          <w:szCs w:val="24"/>
        </w:rPr>
        <w:t>s offers students up-to-date learning experiences from experts in these areas.</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Stude</w:t>
      </w:r>
      <w:r w:rsidRPr="2030048C">
        <w:rPr>
          <w:rFonts w:ascii="Arial" w:eastAsia="Arial" w:hAnsi="Arial" w:cs="Arial"/>
          <w:sz w:val="24"/>
          <w:szCs w:val="24"/>
        </w:rPr>
        <w:t xml:space="preserve">nts </w:t>
      </w:r>
      <w:r w:rsidRPr="2030048C">
        <w:rPr>
          <w:rFonts w:ascii="Arial" w:eastAsia="Arial" w:hAnsi="Arial" w:cs="Arial"/>
          <w:sz w:val="24"/>
          <w:szCs w:val="24"/>
        </w:rPr>
        <w:t xml:space="preserve">complete their MSc by conducting an individualised capstone research project, designed in collaboration with the Software Engineering team. </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Assessment </w:t>
      </w:r>
      <w:r w:rsidRPr="2030048C">
        <w:rPr>
          <w:rFonts w:ascii="Arial" w:eastAsia="Arial" w:hAnsi="Arial" w:cs="Arial"/>
          <w:i/>
          <w:iCs/>
          <w:sz w:val="24"/>
          <w:szCs w:val="24"/>
        </w:rPr>
        <w:t>for</w:t>
      </w:r>
      <w:r w:rsidRPr="2030048C">
        <w:rPr>
          <w:rFonts w:ascii="Arial" w:eastAsia="Arial" w:hAnsi="Arial" w:cs="Arial"/>
          <w:sz w:val="24"/>
          <w:szCs w:val="24"/>
        </w:rPr>
        <w:t xml:space="preserve"> learning (ra</w:t>
      </w:r>
      <w:r w:rsidRPr="2030048C">
        <w:rPr>
          <w:rFonts w:ascii="Arial" w:eastAsia="Arial" w:hAnsi="Arial" w:cs="Arial"/>
          <w:sz w:val="24"/>
          <w:szCs w:val="24"/>
        </w:rPr>
        <w:t xml:space="preserve">ther than solely </w:t>
      </w:r>
      <w:r w:rsidRPr="2030048C">
        <w:rPr>
          <w:rFonts w:ascii="Arial" w:eastAsia="Arial" w:hAnsi="Arial" w:cs="Arial"/>
          <w:i/>
          <w:iCs/>
          <w:sz w:val="24"/>
          <w:szCs w:val="24"/>
        </w:rPr>
        <w:t>of</w:t>
      </w:r>
      <w:r w:rsidRPr="2030048C">
        <w:rPr>
          <w:rFonts w:ascii="Arial" w:eastAsia="Arial" w:hAnsi="Arial" w:cs="Arial"/>
          <w:sz w:val="24"/>
          <w:szCs w:val="24"/>
        </w:rPr>
        <w:t xml:space="preserve"> learning) enabling an inclusive student perspective in their des</w:t>
      </w:r>
      <w:r w:rsidRPr="2030048C">
        <w:rPr>
          <w:rFonts w:ascii="Arial" w:eastAsia="Arial" w:hAnsi="Arial" w:cs="Arial"/>
          <w:sz w:val="24"/>
          <w:szCs w:val="24"/>
        </w:rPr>
        <w:t xml:space="preserve">ign </w:t>
      </w:r>
      <w:r w:rsidRPr="2030048C">
        <w:rPr>
          <w:rFonts w:ascii="Arial" w:eastAsia="Arial" w:hAnsi="Arial" w:cs="Arial"/>
          <w:sz w:val="24"/>
          <w:szCs w:val="24"/>
        </w:rPr>
        <w:t>and application, permitting a degree of individual choice and direction for assessed tasks work.</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All assessments have been designed at level 7, as appropriate for the I</w:t>
      </w:r>
      <w:r w:rsidRPr="2030048C">
        <w:rPr>
          <w:rFonts w:ascii="Arial" w:eastAsia="Arial" w:hAnsi="Arial" w:cs="Arial"/>
          <w:sz w:val="24"/>
          <w:szCs w:val="24"/>
        </w:rPr>
        <w:t xml:space="preserve">nformation System MSc, to be inclusive, accessible, artefact-based and authentic to </w:t>
      </w:r>
      <w:r w:rsidRPr="2030048C">
        <w:rPr>
          <w:rFonts w:ascii="Arial" w:eastAsia="Arial" w:hAnsi="Arial" w:cs="Arial"/>
          <w:sz w:val="24"/>
          <w:szCs w:val="24"/>
        </w:rPr>
        <w:t xml:space="preserve">the </w:t>
      </w:r>
      <w:r w:rsidRPr="2030048C">
        <w:rPr>
          <w:rFonts w:ascii="Arial" w:eastAsia="Arial" w:hAnsi="Arial" w:cs="Arial"/>
          <w:sz w:val="24"/>
          <w:szCs w:val="24"/>
        </w:rPr>
        <w:t>field.</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Students’ induction at the start of the course includes an introduction to the language of UK HEI assessment and the tools used to measure the quality of their a</w:t>
      </w:r>
      <w:r w:rsidRPr="2030048C">
        <w:rPr>
          <w:rFonts w:ascii="Arial" w:eastAsia="Arial" w:hAnsi="Arial" w:cs="Arial"/>
          <w:sz w:val="24"/>
          <w:szCs w:val="24"/>
        </w:rPr>
        <w:t>cademic performance.</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The assessment strategy aims to incorporate an element of choic</w:t>
      </w:r>
      <w:r w:rsidRPr="2030048C">
        <w:rPr>
          <w:rFonts w:ascii="Arial" w:eastAsia="Arial" w:hAnsi="Arial" w:cs="Arial"/>
          <w:sz w:val="24"/>
          <w:szCs w:val="24"/>
        </w:rPr>
        <w:t>e wi</w:t>
      </w:r>
      <w:r w:rsidRPr="2030048C">
        <w:rPr>
          <w:rFonts w:ascii="Arial" w:eastAsia="Arial" w:hAnsi="Arial" w:cs="Arial"/>
          <w:sz w:val="24"/>
          <w:szCs w:val="24"/>
        </w:rPr>
        <w:t>thin a carefully designed framework of assessments that align with the diversity of an Information Systems’ student needs, and thus encourages students to be personally</w:t>
      </w:r>
      <w:r w:rsidRPr="2030048C">
        <w:rPr>
          <w:rFonts w:ascii="Arial" w:eastAsia="Arial" w:hAnsi="Arial" w:cs="Arial"/>
          <w:sz w:val="24"/>
          <w:szCs w:val="24"/>
        </w:rPr>
        <w:t xml:space="preserve"> involved in their assessments. For example, students will have opportunities to cho</w:t>
      </w:r>
      <w:r w:rsidRPr="2030048C">
        <w:rPr>
          <w:rFonts w:ascii="Arial" w:eastAsia="Arial" w:hAnsi="Arial" w:cs="Arial"/>
          <w:sz w:val="24"/>
          <w:szCs w:val="24"/>
        </w:rPr>
        <w:t xml:space="preserve">ose </w:t>
      </w:r>
      <w:r w:rsidRPr="2030048C">
        <w:rPr>
          <w:rFonts w:ascii="Arial" w:eastAsia="Arial" w:hAnsi="Arial" w:cs="Arial"/>
          <w:sz w:val="24"/>
          <w:szCs w:val="24"/>
        </w:rPr>
        <w:t>to work with datasets reflecting their specialism or areas of interest in coursework assignments, provided the data is publicly available and appropriately licensed.</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St</w:t>
      </w:r>
      <w:r w:rsidRPr="2030048C">
        <w:rPr>
          <w:rFonts w:ascii="Arial" w:eastAsia="Arial" w:hAnsi="Arial" w:cs="Arial"/>
          <w:sz w:val="24"/>
          <w:szCs w:val="24"/>
        </w:rPr>
        <w:t>udents have formative tasks and feedback available within the workshops preceding al</w:t>
      </w:r>
      <w:r w:rsidRPr="2030048C">
        <w:rPr>
          <w:rFonts w:ascii="Arial" w:eastAsia="Arial" w:hAnsi="Arial" w:cs="Arial"/>
          <w:sz w:val="24"/>
          <w:szCs w:val="24"/>
        </w:rPr>
        <w:t>l as</w:t>
      </w:r>
      <w:r w:rsidRPr="2030048C">
        <w:rPr>
          <w:rFonts w:ascii="Arial" w:eastAsia="Arial" w:hAnsi="Arial" w:cs="Arial"/>
          <w:sz w:val="24"/>
          <w:szCs w:val="24"/>
        </w:rPr>
        <w:t>sessments.</w:t>
      </w:r>
      <w:r w:rsidRPr="2030048C">
        <w:rPr>
          <w:rFonts w:ascii="Arial" w:eastAsia="Arial" w:hAnsi="Arial" w:cs="Arial"/>
          <w:sz w:val="24"/>
          <w:szCs w:val="24"/>
        </w:rPr>
        <w:t xml:space="preserve">  </w:t>
      </w:r>
      <w:r w:rsidRPr="2030048C">
        <w:rPr>
          <w:rFonts w:ascii="Arial" w:eastAsia="Arial" w:hAnsi="Arial" w:cs="Arial"/>
          <w:sz w:val="24"/>
          <w:szCs w:val="24"/>
        </w:rPr>
        <w:t xml:space="preserve">Teaching sessions adopt a range of activities (including practical tasks, case studies, group discussion, role play) to enrich the learning experience in a </w:t>
      </w:r>
      <w:r w:rsidRPr="2030048C">
        <w:rPr>
          <w:rFonts w:ascii="Arial" w:eastAsia="Arial" w:hAnsi="Arial" w:cs="Arial"/>
          <w:sz w:val="24"/>
          <w:szCs w:val="24"/>
        </w:rPr>
        <w:t>problem-centred, predominantly workshop-based setting, which directly supports the f</w:t>
      </w:r>
      <w:r w:rsidRPr="2030048C">
        <w:rPr>
          <w:rFonts w:ascii="Arial" w:eastAsia="Arial" w:hAnsi="Arial" w:cs="Arial"/>
          <w:sz w:val="24"/>
          <w:szCs w:val="24"/>
        </w:rPr>
        <w:t>ormu</w:t>
      </w:r>
      <w:r w:rsidRPr="2030048C">
        <w:rPr>
          <w:rFonts w:ascii="Arial" w:eastAsia="Arial" w:hAnsi="Arial" w:cs="Arial"/>
          <w:sz w:val="24"/>
          <w:szCs w:val="24"/>
        </w:rPr>
        <w:t>lation of summative assessments.</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Feedback on both formative tasks and summative work enables students to learn from assessment experiences, reflect alongside directed s</w:t>
      </w:r>
      <w:r w:rsidRPr="2030048C">
        <w:rPr>
          <w:rFonts w:ascii="Arial" w:eastAsia="Arial" w:hAnsi="Arial" w:cs="Arial"/>
          <w:sz w:val="24"/>
          <w:szCs w:val="24"/>
        </w:rPr>
        <w:t>tudy and feed-forward that learning to future assessments, most critically to the fi</w:t>
      </w:r>
      <w:r w:rsidRPr="2030048C">
        <w:rPr>
          <w:rFonts w:ascii="Arial" w:eastAsia="Arial" w:hAnsi="Arial" w:cs="Arial"/>
          <w:sz w:val="24"/>
          <w:szCs w:val="24"/>
        </w:rPr>
        <w:t xml:space="preserve">nal </w:t>
      </w:r>
      <w:r w:rsidRPr="2030048C">
        <w:rPr>
          <w:rFonts w:ascii="Arial" w:eastAsia="Arial" w:hAnsi="Arial" w:cs="Arial"/>
          <w:sz w:val="24"/>
          <w:szCs w:val="24"/>
        </w:rPr>
        <w:t>dissertation project.</w:t>
      </w:r>
    </w:p>
    <w:p w:rsidRPr="2030048C" w:rsidP="2030048C">
      <w:pPr>
        <w:numPr>
          <w:ilvl w:val="0"/>
          <w:numId w:val="22"/>
        </w:numPr>
        <w:ind w:left="720" w:right="0" w:hanging="360"/>
        <w:jc w:val="left"/>
        <w:rPr>
          <w:rFonts w:ascii="Arial" w:eastAsia="Arial" w:hAnsi="Arial" w:cs="Arial"/>
          <w:sz w:val="24"/>
          <w:szCs w:val="24"/>
        </w:rPr>
      </w:pPr>
      <w:r w:rsidRPr="2030048C">
        <w:rPr>
          <w:rFonts w:ascii="Arial" w:eastAsia="Arial" w:hAnsi="Arial" w:cs="Arial"/>
          <w:sz w:val="24"/>
          <w:szCs w:val="24"/>
        </w:rPr>
        <w:t>An approach to the personal tutor system appropriate to the Software Engineering MSc, which provides opportunities for students to personalise the</w:t>
      </w:r>
      <w:r w:rsidRPr="2030048C">
        <w:rPr>
          <w:rFonts w:ascii="Arial" w:eastAsia="Arial" w:hAnsi="Arial" w:cs="Arial"/>
          <w:sz w:val="24"/>
          <w:szCs w:val="24"/>
        </w:rPr>
        <w:t>ir experience and track their academic and personal skills development.</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The Course L</w:t>
      </w:r>
      <w:r w:rsidRPr="2030048C">
        <w:rPr>
          <w:rFonts w:ascii="Arial" w:eastAsia="Arial" w:hAnsi="Arial" w:cs="Arial"/>
          <w:sz w:val="24"/>
          <w:szCs w:val="24"/>
        </w:rPr>
        <w:t>eade</w:t>
      </w:r>
      <w:r w:rsidRPr="2030048C">
        <w:rPr>
          <w:rFonts w:ascii="Arial" w:eastAsia="Arial" w:hAnsi="Arial" w:cs="Arial"/>
          <w:sz w:val="24"/>
          <w:szCs w:val="24"/>
        </w:rPr>
        <w:t>r is the nexus of the postgraduate personal tutor system and normally acts as the formal Personal Tutor, supported day-to-day during intensive week-block teaching by th</w:t>
      </w:r>
      <w:r w:rsidRPr="2030048C">
        <w:rPr>
          <w:rFonts w:ascii="Arial" w:eastAsia="Arial" w:hAnsi="Arial" w:cs="Arial"/>
          <w:sz w:val="24"/>
          <w:szCs w:val="24"/>
        </w:rPr>
        <w:t>e course’s module leaders.</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Students will have a Dissertation Supervisor from the Sof</w:t>
      </w:r>
      <w:r w:rsidRPr="2030048C">
        <w:rPr>
          <w:rFonts w:ascii="Arial" w:eastAsia="Arial" w:hAnsi="Arial" w:cs="Arial"/>
          <w:sz w:val="24"/>
          <w:szCs w:val="24"/>
        </w:rPr>
        <w:t>twar</w:t>
      </w:r>
      <w:r w:rsidRPr="2030048C">
        <w:rPr>
          <w:rFonts w:ascii="Arial" w:eastAsia="Arial" w:hAnsi="Arial" w:cs="Arial"/>
          <w:sz w:val="24"/>
          <w:szCs w:val="24"/>
        </w:rPr>
        <w:t>e Engineering team and in cases where that is the Course Leader, an independent Personal Tutor will also be appointed so that all students have the opportunity for inde</w:t>
      </w:r>
      <w:r w:rsidRPr="2030048C">
        <w:rPr>
          <w:rFonts w:ascii="Arial" w:eastAsia="Arial" w:hAnsi="Arial" w:cs="Arial"/>
          <w:sz w:val="24"/>
          <w:szCs w:val="24"/>
        </w:rPr>
        <w:t>pendent pastoral and academic advice.</w:t>
      </w:r>
    </w:p>
    <w:p w:rsidRPr="2030048C" w:rsidP="2030048C">
      <w:pPr>
        <w:numPr>
          <w:ilvl w:val="1"/>
          <w:numId w:val="22"/>
        </w:numPr>
        <w:ind w:left="1440" w:right="0" w:hanging="360"/>
        <w:jc w:val="left"/>
        <w:rPr>
          <w:rFonts w:ascii="Arial" w:eastAsia="Arial" w:hAnsi="Arial" w:cs="Arial"/>
          <w:sz w:val="24"/>
          <w:szCs w:val="24"/>
        </w:rPr>
      </w:pPr>
      <w:r w:rsidRPr="2030048C">
        <w:rPr>
          <w:rFonts w:ascii="Arial" w:eastAsia="Arial" w:hAnsi="Arial" w:cs="Arial"/>
          <w:sz w:val="24"/>
          <w:szCs w:val="24"/>
        </w:rPr>
        <w:t>The Course Leader and/or Personal Tutor will m</w:t>
      </w:r>
      <w:r w:rsidRPr="2030048C">
        <w:rPr>
          <w:rFonts w:ascii="Arial" w:eastAsia="Arial" w:hAnsi="Arial" w:cs="Arial"/>
          <w:sz w:val="24"/>
          <w:szCs w:val="24"/>
        </w:rPr>
        <w:t xml:space="preserve">eet </w:t>
      </w:r>
      <w:r w:rsidRPr="2030048C">
        <w:rPr>
          <w:rFonts w:ascii="Arial" w:eastAsia="Arial" w:hAnsi="Arial" w:cs="Arial"/>
          <w:sz w:val="24"/>
          <w:szCs w:val="24"/>
        </w:rPr>
        <w:t>with Software Engineering students regularly to provide guidance on assessment and personal development choices, discuss progress on the course, career plans, goals, de</w:t>
      </w:r>
      <w:r w:rsidRPr="2030048C">
        <w:rPr>
          <w:rFonts w:ascii="Arial" w:eastAsia="Arial" w:hAnsi="Arial" w:cs="Arial"/>
          <w:sz w:val="24"/>
          <w:szCs w:val="24"/>
        </w:rPr>
        <w:t>velopment and recognition of personal and graduate attributes.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ensures t</w:t>
      </w:r>
      <w:r w:rsidRPr="2030048C">
        <w:rPr>
          <w:rFonts w:ascii="Arial" w:eastAsia="Arial" w:hAnsi="Arial" w:cs="Arial"/>
          <w:sz w:val="24"/>
          <w:szCs w:val="24"/>
        </w:rPr>
        <w:t xml:space="preserve">hat </w:t>
      </w:r>
      <w:r w:rsidRPr="2030048C">
        <w:rPr>
          <w:rFonts w:ascii="Arial" w:eastAsia="Arial" w:hAnsi="Arial" w:cs="Arial"/>
          <w:sz w:val="24"/>
          <w:szCs w:val="24"/>
        </w:rPr>
        <w:t>the students are exposed to team working through group presentations, joint report writing, joint research and lab work. The students develop presentation and communica</w:t>
      </w:r>
      <w:r w:rsidRPr="2030048C">
        <w:rPr>
          <w:rFonts w:ascii="Arial" w:eastAsia="Arial" w:hAnsi="Arial" w:cs="Arial"/>
          <w:sz w:val="24"/>
          <w:szCs w:val="24"/>
        </w:rPr>
        <w:t>tion skills through these activities as well as practise analytical thinking, focuse</w:t>
      </w:r>
      <w:r w:rsidRPr="2030048C">
        <w:rPr>
          <w:rFonts w:ascii="Arial" w:eastAsia="Arial" w:hAnsi="Arial" w:cs="Arial"/>
          <w:sz w:val="24"/>
          <w:szCs w:val="24"/>
        </w:rPr>
        <w:t>d li</w:t>
      </w:r>
      <w:r w:rsidRPr="2030048C">
        <w:rPr>
          <w:rFonts w:ascii="Arial" w:eastAsia="Arial" w:hAnsi="Arial" w:cs="Arial"/>
          <w:sz w:val="24"/>
          <w:szCs w:val="24"/>
        </w:rPr>
        <w:t>terature reviewing and academic essay writing, as part of their coursework portfolio. In this way, they also improve their research and evaluation skills.</w:t>
      </w:r>
      <w:r w:rsidRPr="2030048C">
        <w:rPr>
          <w:rFonts w:ascii="Arial" w:eastAsia="Arial" w:hAnsi="Arial" w:cs="Arial"/>
          <w:sz w:val="24"/>
          <w:szCs w:val="24"/>
        </w:rPr>
        <w:t xml:space="preserve"> </w:t>
      </w:r>
      <w:r w:rsidRPr="2030048C">
        <w:rPr>
          <w:rFonts w:ascii="Arial" w:eastAsia="Arial" w:hAnsi="Arial" w:cs="Arial"/>
          <w:sz w:val="24"/>
          <w:szCs w:val="24"/>
        </w:rPr>
        <w:t>The student i</w:t>
      </w:r>
      <w:r w:rsidRPr="2030048C">
        <w:rPr>
          <w:rFonts w:ascii="Arial" w:eastAsia="Arial" w:hAnsi="Arial" w:cs="Arial"/>
          <w:sz w:val="24"/>
          <w:szCs w:val="24"/>
        </w:rPr>
        <w:t>s required to further explore and exploit the information given in the modules throu</w:t>
      </w:r>
      <w:r w:rsidRPr="2030048C">
        <w:rPr>
          <w:rFonts w:ascii="Arial" w:eastAsia="Arial" w:hAnsi="Arial" w:cs="Arial"/>
          <w:sz w:val="24"/>
          <w:szCs w:val="24"/>
        </w:rPr>
        <w:t>gh g</w:t>
      </w:r>
      <w:r w:rsidRPr="2030048C">
        <w:rPr>
          <w:rFonts w:ascii="Arial" w:eastAsia="Arial" w:hAnsi="Arial" w:cs="Arial"/>
          <w:sz w:val="24"/>
          <w:szCs w:val="24"/>
        </w:rPr>
        <w:t xml:space="preserve">uided self-study.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Capstone Project</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will be given close guidance to select a project that is relevant to their background and specialisation. During the </w:t>
      </w:r>
      <w:r w:rsidRPr="2030048C">
        <w:rPr>
          <w:rFonts w:ascii="Arial" w:eastAsia="Arial" w:hAnsi="Arial" w:cs="Arial"/>
          <w:sz w:val="24"/>
          <w:szCs w:val="24"/>
        </w:rPr>
        <w:t xml:space="preserve">project, the student will be expected to apply the knowledge acquired during the course. </w:t>
      </w:r>
      <w:r w:rsidRPr="2030048C">
        <w:rPr>
          <w:rFonts w:ascii="Arial" w:eastAsia="Arial" w:hAnsi="Arial" w:cs="Arial"/>
          <w:sz w:val="24"/>
          <w:szCs w:val="24"/>
        </w:rPr>
        <w:t xml:space="preserve">Key </w:t>
      </w:r>
      <w:r w:rsidRPr="2030048C">
        <w:rPr>
          <w:rFonts w:ascii="Arial" w:eastAsia="Arial" w:hAnsi="Arial" w:cs="Arial"/>
          <w:sz w:val="24"/>
          <w:szCs w:val="24"/>
        </w:rPr>
        <w:t>skills in communication, presentation, literature search, problem analysis, project planning, report writing and solution justification are all part of the learnin</w:t>
      </w:r>
      <w:r w:rsidRPr="2030048C">
        <w:rPr>
          <w:rFonts w:ascii="Arial" w:eastAsia="Arial" w:hAnsi="Arial" w:cs="Arial"/>
          <w:sz w:val="24"/>
          <w:szCs w:val="24"/>
        </w:rPr>
        <w:t>g outcomes defined in this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i/>
          <w:iCs/>
          <w:sz w:val="24"/>
          <w:szCs w:val="24"/>
        </w:rPr>
        <w:t>Contact Time</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consists of modules in whi</w:t>
      </w:r>
      <w:r w:rsidRPr="2030048C">
        <w:rPr>
          <w:rFonts w:ascii="Arial" w:eastAsia="Arial" w:hAnsi="Arial" w:cs="Arial"/>
          <w:sz w:val="24"/>
          <w:szCs w:val="24"/>
        </w:rPr>
        <w:t>ch t</w:t>
      </w:r>
      <w:r w:rsidRPr="2030048C">
        <w:rPr>
          <w:rFonts w:ascii="Arial" w:eastAsia="Arial" w:hAnsi="Arial" w:cs="Arial"/>
          <w:sz w:val="24"/>
          <w:szCs w:val="24"/>
        </w:rPr>
        <w:t>he learning outcomes are achieved through a combination of scheduled tutor lead activities and practice. Scheduled contact time with students given within each mod</w:t>
      </w:r>
      <w:r w:rsidRPr="2030048C">
        <w:rPr>
          <w:rFonts w:ascii="Arial" w:eastAsia="Arial" w:hAnsi="Arial" w:cs="Arial"/>
          <w:sz w:val="24"/>
          <w:szCs w:val="24"/>
        </w:rPr>
        <w:t>ule guide consists of lectures, tutorials, and practical sessions. Contact with staff oft</w:t>
      </w:r>
      <w:r w:rsidRPr="2030048C">
        <w:rPr>
          <w:rFonts w:ascii="Arial" w:eastAsia="Arial" w:hAnsi="Arial" w:cs="Arial"/>
          <w:sz w:val="24"/>
          <w:szCs w:val="24"/>
        </w:rPr>
        <w:t>en t</w:t>
      </w:r>
      <w:r w:rsidRPr="2030048C">
        <w:rPr>
          <w:rFonts w:ascii="Arial" w:eastAsia="Arial" w:hAnsi="Arial" w:cs="Arial"/>
          <w:sz w:val="24"/>
          <w:szCs w:val="24"/>
        </w:rPr>
        <w:t xml:space="preserve">akes place in the context of giving feedback on assessed work but will not necessarily be scheduled. </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i/>
          <w:iCs/>
          <w:sz w:val="24"/>
          <w:szCs w:val="24"/>
        </w:rPr>
        <w:t>Virtual Learning Environment (VLE)</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Kingston University </w:t>
      </w:r>
      <w:r w:rsidRPr="2030048C">
        <w:rPr>
          <w:rFonts w:ascii="Arial" w:eastAsia="Arial" w:hAnsi="Arial" w:cs="Arial"/>
          <w:sz w:val="24"/>
          <w:szCs w:val="24"/>
        </w:rPr>
        <w:t xml:space="preserve">uses </w:t>
      </w:r>
      <w:r w:rsidRPr="2030048C">
        <w:rPr>
          <w:rFonts w:ascii="Arial" w:eastAsia="Arial" w:hAnsi="Arial" w:cs="Arial"/>
          <w:sz w:val="24"/>
          <w:szCs w:val="24"/>
        </w:rPr>
        <w:t xml:space="preserve">Canvas </w:t>
      </w:r>
      <w:r w:rsidRPr="2030048C">
        <w:rPr>
          <w:rFonts w:ascii="Arial" w:eastAsia="Arial" w:hAnsi="Arial" w:cs="Arial"/>
          <w:sz w:val="24"/>
          <w:szCs w:val="24"/>
        </w:rPr>
        <w:t>learning management system (VLE), which is used extensively in all modules as a me</w:t>
      </w:r>
      <w:r w:rsidRPr="2030048C">
        <w:rPr>
          <w:rFonts w:ascii="Arial" w:eastAsia="Arial" w:hAnsi="Arial" w:cs="Arial"/>
          <w:sz w:val="24"/>
          <w:szCs w:val="24"/>
        </w:rPr>
        <w:t xml:space="preserve">ans </w:t>
      </w:r>
      <w:r w:rsidRPr="2030048C">
        <w:rPr>
          <w:rFonts w:ascii="Arial" w:eastAsia="Arial" w:hAnsi="Arial" w:cs="Arial"/>
          <w:sz w:val="24"/>
          <w:szCs w:val="24"/>
        </w:rPr>
        <w:t>of dissemination of lecture notes, worksheets, assignments, reference materials, links, videos and lecturer annotated slides. In this way it acts as a repository f</w:t>
      </w:r>
      <w:r w:rsidRPr="2030048C">
        <w:rPr>
          <w:rFonts w:ascii="Arial" w:eastAsia="Arial" w:hAnsi="Arial" w:cs="Arial"/>
          <w:sz w:val="24"/>
          <w:szCs w:val="24"/>
        </w:rPr>
        <w:t>or learning materials to be used by the students for independent study and in addition in</w:t>
      </w:r>
      <w:r w:rsidRPr="2030048C">
        <w:rPr>
          <w:rFonts w:ascii="Arial" w:eastAsia="Arial" w:hAnsi="Arial" w:cs="Arial"/>
          <w:sz w:val="24"/>
          <w:szCs w:val="24"/>
        </w:rPr>
        <w:t xml:space="preserve"> som</w:t>
      </w:r>
      <w:r w:rsidRPr="2030048C">
        <w:rPr>
          <w:rFonts w:ascii="Arial" w:eastAsia="Arial" w:hAnsi="Arial" w:cs="Arial"/>
          <w:sz w:val="24"/>
          <w:szCs w:val="24"/>
        </w:rPr>
        <w:t>e modules, for formative and summative tests and surveys.</w:t>
      </w:r>
      <w:r w:rsidRPr="2030048C">
        <w:rPr>
          <w:rFonts w:ascii="Arial" w:eastAsia="Arial" w:hAnsi="Arial" w:cs="Arial"/>
          <w:sz w:val="24"/>
          <w:szCs w:val="24"/>
        </w:rPr>
        <w:t xml:space="preserve"> In addition, EMC will make use of the Esoft-VLE to share learning materials when required, minimising the</w:t>
      </w:r>
      <w:r w:rsidRPr="2030048C">
        <w:rPr>
          <w:rFonts w:ascii="Arial" w:eastAsia="Arial" w:hAnsi="Arial" w:cs="Arial"/>
          <w:sz w:val="24"/>
          <w:szCs w:val="24"/>
        </w:rPr>
        <w:t xml:space="preserve"> effect of technical or geographical limitations.</w:t>
      </w:r>
    </w:p>
    <w:p w:rsidRPr="2030048C" w:rsidP="2030048C">
      <w:pPr>
        <w:jc w:val="both"/>
        <w:rPr>
          <w:rFonts w:ascii="Arial" w:eastAsia="Arial" w:hAnsi="Arial" w:cs="Arial"/>
          <w:sz w:val="24"/>
          <w:szCs w:val="24"/>
        </w:rPr>
      </w:pPr>
      <w:r w:rsidRPr="2030048C">
        <w:rPr>
          <w:rFonts w:ascii="Arial" w:eastAsia="Arial" w:hAnsi="Arial" w:cs="Arial"/>
          <w:i/>
          <w:iCs/>
          <w:sz w:val="24"/>
          <w:szCs w:val="24"/>
        </w:rPr>
        <w:t xml:space="preserve">Assessment and Feedback </w:t>
      </w:r>
    </w:p>
    <w:p w:rsidRPr="2030048C" w:rsidP="2030048C">
      <w:pPr>
        <w:pStyle w:val="Pa3"/>
        <w:jc w:val="both"/>
        <w:rPr>
          <w:rFonts w:ascii="Arial" w:eastAsia="Arial" w:hAnsi="Arial" w:cs="Arial"/>
          <w:sz w:val="24"/>
          <w:szCs w:val="24"/>
        </w:rPr>
      </w:pPr>
      <w:r w:rsidRPr="2030048C">
        <w:rPr>
          <w:rFonts w:ascii="Arial" w:eastAsia="Arial" w:hAnsi="Arial" w:cs="Arial"/>
          <w:sz w:val="20"/>
          <w:szCs w:val="20"/>
        </w:rPr>
        <w:t>The use of a v</w:t>
      </w:r>
      <w:r w:rsidRPr="2030048C">
        <w:rPr>
          <w:rFonts w:ascii="Arial" w:eastAsia="Arial" w:hAnsi="Arial" w:cs="Arial"/>
          <w:sz w:val="20"/>
          <w:szCs w:val="20"/>
        </w:rPr>
        <w:t>arie</w:t>
      </w:r>
      <w:r w:rsidRPr="2030048C">
        <w:rPr>
          <w:rFonts w:ascii="Arial" w:eastAsia="Arial" w:hAnsi="Arial" w:cs="Arial"/>
          <w:sz w:val="20"/>
          <w:szCs w:val="20"/>
        </w:rPr>
        <w:t>ty of assessment methods is adopted as an appropriate assessment strategy to ensure all aspects of learning outcomes are covered and achieved. In particular:</w:t>
      </w:r>
    </w:p>
    <w:p w:rsidRPr="2030048C" w:rsidP="2030048C">
      <w:pPr>
        <w:numPr>
          <w:ilvl w:val="0"/>
          <w:numId w:val="23"/>
        </w:numPr>
        <w:ind w:left="720" w:right="0" w:hanging="360"/>
        <w:jc w:val="both"/>
        <w:rPr>
          <w:rFonts w:ascii="Arial" w:eastAsia="Arial" w:hAnsi="Arial" w:cs="Arial"/>
          <w:sz w:val="24"/>
          <w:szCs w:val="24"/>
        </w:rPr>
      </w:pPr>
      <w:r w:rsidRPr="2030048C">
        <w:rPr>
          <w:rFonts w:ascii="Arial" w:eastAsia="Arial" w:hAnsi="Arial" w:cs="Arial"/>
          <w:sz w:val="24"/>
          <w:szCs w:val="24"/>
        </w:rPr>
        <w:t>A por</w:t>
      </w:r>
      <w:r w:rsidRPr="2030048C">
        <w:rPr>
          <w:rFonts w:ascii="Arial" w:eastAsia="Arial" w:hAnsi="Arial" w:cs="Arial"/>
          <w:sz w:val="24"/>
          <w:szCs w:val="24"/>
        </w:rPr>
        <w:t>tfolio of coursework assignments is designed to develop analytical and practical skills i</w:t>
      </w:r>
      <w:r w:rsidRPr="2030048C">
        <w:rPr>
          <w:rFonts w:ascii="Arial" w:eastAsia="Arial" w:hAnsi="Arial" w:cs="Arial"/>
          <w:sz w:val="24"/>
          <w:szCs w:val="24"/>
        </w:rPr>
        <w:t xml:space="preserve">n a </w:t>
      </w:r>
      <w:r w:rsidRPr="2030048C">
        <w:rPr>
          <w:rFonts w:ascii="Arial" w:eastAsia="Arial" w:hAnsi="Arial" w:cs="Arial"/>
          <w:sz w:val="24"/>
          <w:szCs w:val="24"/>
        </w:rPr>
        <w:t xml:space="preserve">student, </w:t>
      </w:r>
    </w:p>
    <w:p w:rsidRPr="2030048C" w:rsidP="2030048C">
      <w:pPr>
        <w:numPr>
          <w:ilvl w:val="0"/>
          <w:numId w:val="23"/>
        </w:numPr>
        <w:ind w:left="720" w:right="0" w:hanging="360"/>
        <w:jc w:val="both"/>
        <w:rPr>
          <w:rFonts w:ascii="Arial" w:eastAsia="Arial" w:hAnsi="Arial" w:cs="Arial"/>
          <w:sz w:val="24"/>
          <w:szCs w:val="24"/>
        </w:rPr>
      </w:pPr>
      <w:r w:rsidRPr="2030048C">
        <w:rPr>
          <w:rFonts w:ascii="Arial" w:eastAsia="Arial" w:hAnsi="Arial" w:cs="Arial"/>
          <w:sz w:val="24"/>
          <w:szCs w:val="24"/>
        </w:rPr>
        <w:t>An unseen exam is designed to develop skills required in problem solving situations, commonly found in practice.</w:t>
      </w:r>
    </w:p>
    <w:p w:rsidRPr="2030048C" w:rsidP="2030048C">
      <w:pPr>
        <w:pStyle w:val="Pa3"/>
        <w:jc w:val="both"/>
        <w:rPr>
          <w:rFonts w:ascii="Arial" w:eastAsia="Arial" w:hAnsi="Arial" w:cs="Arial"/>
          <w:sz w:val="24"/>
          <w:szCs w:val="24"/>
        </w:rPr>
      </w:pPr>
      <w:r w:rsidRPr="2030048C">
        <w:rPr>
          <w:rFonts w:ascii="Arial" w:eastAsia="Arial" w:hAnsi="Arial" w:cs="Arial"/>
          <w:sz w:val="20"/>
          <w:szCs w:val="20"/>
        </w:rPr>
        <w:t> </w:t>
      </w:r>
    </w:p>
    <w:p w:rsidRPr="2030048C" w:rsidP="2030048C">
      <w:pPr>
        <w:pStyle w:val="Pa3"/>
        <w:jc w:val="both"/>
        <w:rPr>
          <w:rFonts w:ascii="Arial" w:eastAsia="Arial" w:hAnsi="Arial" w:cs="Arial"/>
          <w:sz w:val="24"/>
          <w:szCs w:val="24"/>
        </w:rPr>
      </w:pPr>
      <w:r w:rsidRPr="2030048C">
        <w:rPr>
          <w:rFonts w:ascii="Arial" w:eastAsia="Arial" w:hAnsi="Arial" w:cs="Arial"/>
          <w:sz w:val="20"/>
          <w:szCs w:val="20"/>
        </w:rPr>
        <w:t>The formative assessment is used to hel</w:t>
      </w:r>
      <w:r w:rsidRPr="2030048C">
        <w:rPr>
          <w:rFonts w:ascii="Arial" w:eastAsia="Arial" w:hAnsi="Arial" w:cs="Arial"/>
          <w:sz w:val="20"/>
          <w:szCs w:val="20"/>
        </w:rPr>
        <w:t xml:space="preserve">p students answer particular components of the assessment by giving them timely feedback </w:t>
      </w:r>
      <w:r w:rsidRPr="2030048C">
        <w:rPr>
          <w:rFonts w:ascii="Arial" w:eastAsia="Arial" w:hAnsi="Arial" w:cs="Arial"/>
          <w:sz w:val="20"/>
          <w:szCs w:val="20"/>
        </w:rPr>
        <w:t>on e</w:t>
      </w:r>
      <w:r w:rsidRPr="2030048C">
        <w:rPr>
          <w:rFonts w:ascii="Arial" w:eastAsia="Arial" w:hAnsi="Arial" w:cs="Arial"/>
          <w:sz w:val="20"/>
          <w:szCs w:val="20"/>
        </w:rPr>
        <w:t xml:space="preserve">xercises specially designed to simulate the exam questions or elements of the coursework assignments. The feedback is provided in: </w:t>
      </w:r>
    </w:p>
    <w:p w:rsidRPr="2030048C" w:rsidP="2030048C">
      <w:pPr>
        <w:numPr>
          <w:ilvl w:val="0"/>
          <w:numId w:val="24"/>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written form thus presenting </w:t>
      </w:r>
      <w:r w:rsidRPr="2030048C">
        <w:rPr>
          <w:rFonts w:ascii="Arial" w:eastAsia="Arial" w:hAnsi="Arial" w:cs="Arial"/>
          <w:sz w:val="24"/>
          <w:szCs w:val="24"/>
        </w:rPr>
        <w:t>an additional learning resource helping the student build the knowledge throughout the le</w:t>
      </w:r>
      <w:r w:rsidRPr="2030048C">
        <w:rPr>
          <w:rFonts w:ascii="Arial" w:eastAsia="Arial" w:hAnsi="Arial" w:cs="Arial"/>
          <w:sz w:val="24"/>
          <w:szCs w:val="24"/>
        </w:rPr>
        <w:t>arni</w:t>
      </w:r>
      <w:r w:rsidRPr="2030048C">
        <w:rPr>
          <w:rFonts w:ascii="Arial" w:eastAsia="Arial" w:hAnsi="Arial" w:cs="Arial"/>
          <w:sz w:val="24"/>
          <w:szCs w:val="24"/>
        </w:rPr>
        <w:t xml:space="preserve">ng process and prepare for the summative assessment. </w:t>
      </w:r>
    </w:p>
    <w:p w:rsidRPr="2030048C" w:rsidP="2030048C">
      <w:pPr>
        <w:numPr>
          <w:ilvl w:val="0"/>
          <w:numId w:val="24"/>
        </w:numPr>
        <w:ind w:left="720" w:right="0" w:hanging="360"/>
        <w:jc w:val="both"/>
        <w:rPr>
          <w:rFonts w:ascii="Arial" w:eastAsia="Arial" w:hAnsi="Arial" w:cs="Arial"/>
          <w:sz w:val="24"/>
          <w:szCs w:val="24"/>
        </w:rPr>
      </w:pPr>
      <w:r w:rsidRPr="2030048C">
        <w:rPr>
          <w:rFonts w:ascii="Arial" w:eastAsia="Arial" w:hAnsi="Arial" w:cs="Arial"/>
          <w:sz w:val="24"/>
          <w:szCs w:val="24"/>
        </w:rPr>
        <w:t>The exercises</w:t>
      </w:r>
      <w:r w:rsidRPr="2030048C">
        <w:rPr>
          <w:rFonts w:ascii="Arial" w:eastAsia="Arial" w:hAnsi="Arial" w:cs="Arial"/>
          <w:b/>
          <w:bCs/>
          <w:sz w:val="24"/>
          <w:szCs w:val="24"/>
        </w:rPr>
        <w:t xml:space="preserve"> </w:t>
      </w:r>
      <w:r w:rsidRPr="2030048C">
        <w:rPr>
          <w:rFonts w:ascii="Arial" w:eastAsia="Arial" w:hAnsi="Arial" w:cs="Arial"/>
          <w:sz w:val="24"/>
          <w:szCs w:val="24"/>
        </w:rPr>
        <w:t xml:space="preserve">may take various forms including: </w:t>
      </w:r>
    </w:p>
    <w:p w:rsidRPr="2030048C" w:rsidP="2030048C">
      <w:pPr>
        <w:numPr>
          <w:ilvl w:val="1"/>
          <w:numId w:val="24"/>
        </w:numPr>
        <w:ind w:left="1440" w:right="0" w:hanging="360"/>
        <w:jc w:val="both"/>
        <w:rPr>
          <w:rFonts w:ascii="Arial" w:eastAsia="Arial" w:hAnsi="Arial" w:cs="Arial"/>
          <w:sz w:val="24"/>
          <w:szCs w:val="24"/>
        </w:rPr>
      </w:pPr>
      <w:r w:rsidRPr="2030048C">
        <w:rPr>
          <w:rFonts w:ascii="Arial" w:eastAsia="Arial" w:hAnsi="Arial" w:cs="Arial"/>
          <w:sz w:val="24"/>
          <w:szCs w:val="24"/>
        </w:rPr>
        <w:t xml:space="preserve">small building projects, </w:t>
      </w:r>
    </w:p>
    <w:p w:rsidRPr="2030048C" w:rsidP="2030048C">
      <w:pPr>
        <w:numPr>
          <w:ilvl w:val="1"/>
          <w:numId w:val="24"/>
        </w:numPr>
        <w:ind w:left="1440" w:right="0" w:hanging="360"/>
        <w:jc w:val="both"/>
        <w:rPr>
          <w:rFonts w:ascii="Arial" w:eastAsia="Arial" w:hAnsi="Arial" w:cs="Arial"/>
          <w:sz w:val="24"/>
          <w:szCs w:val="24"/>
        </w:rPr>
      </w:pPr>
      <w:r w:rsidRPr="2030048C">
        <w:rPr>
          <w:rFonts w:ascii="Arial" w:eastAsia="Arial" w:hAnsi="Arial" w:cs="Arial"/>
          <w:sz w:val="24"/>
          <w:szCs w:val="24"/>
        </w:rPr>
        <w:t xml:space="preserve">essay writing or </w:t>
      </w:r>
    </w:p>
    <w:p w:rsidRPr="2030048C" w:rsidP="2030048C">
      <w:pPr>
        <w:numPr>
          <w:ilvl w:val="1"/>
          <w:numId w:val="24"/>
        </w:numPr>
        <w:ind w:left="1440" w:right="0" w:hanging="360"/>
        <w:jc w:val="both"/>
        <w:rPr>
          <w:rFonts w:ascii="Arial" w:eastAsia="Arial" w:hAnsi="Arial" w:cs="Arial"/>
          <w:sz w:val="24"/>
          <w:szCs w:val="24"/>
        </w:rPr>
      </w:pPr>
      <w:r w:rsidRPr="2030048C">
        <w:rPr>
          <w:rFonts w:ascii="Arial" w:eastAsia="Arial" w:hAnsi="Arial" w:cs="Arial"/>
          <w:sz w:val="24"/>
          <w:szCs w:val="24"/>
        </w:rPr>
        <w:t>analysing past e</w:t>
      </w:r>
      <w:r w:rsidRPr="2030048C">
        <w:rPr>
          <w:rFonts w:ascii="Arial" w:eastAsia="Arial" w:hAnsi="Arial" w:cs="Arial"/>
          <w:sz w:val="24"/>
          <w:szCs w:val="24"/>
        </w:rPr>
        <w:t>xam questions</w:t>
      </w:r>
    </w:p>
    <w:p w:rsidRPr="2030048C" w:rsidP="2030048C">
      <w:pPr>
        <w:pStyle w:val="Pa3"/>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At the end of the course every student undertakes a project dissertation w</w:t>
      </w:r>
      <w:r w:rsidRPr="2030048C">
        <w:rPr>
          <w:rFonts w:ascii="Arial" w:eastAsia="Arial" w:hAnsi="Arial" w:cs="Arial"/>
          <w:sz w:val="24"/>
          <w:szCs w:val="24"/>
        </w:rPr>
        <w:t>hich</w:t>
      </w:r>
      <w:r w:rsidRPr="2030048C">
        <w:rPr>
          <w:rFonts w:ascii="Arial" w:eastAsia="Arial" w:hAnsi="Arial" w:cs="Arial"/>
          <w:sz w:val="24"/>
          <w:szCs w:val="24"/>
        </w:rPr>
        <w:t xml:space="preserve"> is a significant activity that draws on and enhances the skills and knowledge developed throughout the programme. As such, the assessment places greater </w:t>
      </w:r>
      <w:r w:rsidRPr="2030048C">
        <w:rPr>
          <w:rFonts w:ascii="Arial" w:eastAsia="Arial" w:hAnsi="Arial" w:cs="Arial"/>
          <w:sz w:val="24"/>
          <w:szCs w:val="24"/>
        </w:rPr>
        <w:t>emphasis on the ability to plan work, manage time effectively, and research background information</w:t>
      </w:r>
      <w:r w:rsidRPr="2030048C">
        <w:rPr>
          <w:rFonts w:ascii="Arial" w:eastAsia="Arial" w:hAnsi="Arial" w:cs="Arial"/>
          <w:sz w:val="24"/>
          <w:szCs w:val="24"/>
        </w:rPr>
        <w:t>, cu</w:t>
      </w:r>
      <w:r w:rsidRPr="2030048C">
        <w:rPr>
          <w:rFonts w:ascii="Arial" w:eastAsia="Arial" w:hAnsi="Arial" w:cs="Arial"/>
          <w:sz w:val="24"/>
          <w:szCs w:val="24"/>
        </w:rPr>
        <w:t>lminating in portfolio of written reports and an interview</w:t>
      </w:r>
    </w:p>
    <w:p w:rsidRPr="2030048C" w:rsidP="2030048C">
      <w:pPr>
        <w:jc w:val="both"/>
        <w:rPr>
          <w:rFonts w:ascii="Arial" w:eastAsia="Arial" w:hAnsi="Arial" w:cs="Arial"/>
          <w:sz w:val="24"/>
          <w:szCs w:val="24"/>
        </w:rPr>
      </w:pPr>
      <w:r w:rsidRPr="2030048C">
        <w:rPr>
          <w:rFonts w:ascii="Arial" w:eastAsia="Arial" w:hAnsi="Arial" w:cs="Arial"/>
          <w:sz w:val="24"/>
          <w:szCs w:val="24"/>
        </w:rPr>
        <w:t>n the programme as a whole, the assessment components as outlined in the Section C, under the T</w:t>
      </w:r>
      <w:r w:rsidRPr="2030048C">
        <w:rPr>
          <w:rFonts w:ascii="Arial" w:eastAsia="Arial" w:hAnsi="Arial" w:cs="Arial"/>
          <w:sz w:val="24"/>
          <w:szCs w:val="24"/>
        </w:rPr>
        <w:t>eaching/Learning and Assessment Strategies heading are used in all of the modules.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Research Infor</w:t>
      </w:r>
      <w:r w:rsidRPr="2030048C">
        <w:rPr>
          <w:rFonts w:ascii="Arial" w:eastAsia="Arial" w:hAnsi="Arial" w:cs="Arial"/>
          <w:i/>
          <w:iCs/>
          <w:sz w:val="24"/>
          <w:szCs w:val="24"/>
        </w:rPr>
        <w:t xml:space="preserve">med </w:t>
      </w:r>
      <w:r w:rsidRPr="2030048C">
        <w:rPr>
          <w:rFonts w:ascii="Arial" w:eastAsia="Arial" w:hAnsi="Arial" w:cs="Arial"/>
          <w:i/>
          <w:iCs/>
          <w:sz w:val="24"/>
          <w:szCs w:val="24"/>
        </w:rPr>
        <w:t>Teaching</w:t>
      </w:r>
    </w:p>
    <w:p w:rsidRPr="2030048C" w:rsidP="2030048C">
      <w:pPr>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Module leaders and teaching staff responsible for programme delivery at ESOFT are practitioners and experts in their respective fields, and are </w:t>
      </w:r>
      <w:r w:rsidRPr="2030048C">
        <w:rPr>
          <w:rFonts w:ascii="Arial" w:eastAsia="Arial" w:hAnsi="Arial" w:cs="Arial"/>
          <w:sz w:val="24"/>
          <w:szCs w:val="24"/>
        </w:rPr>
        <w:t>maintaining strong academic and industrial links locally and overseas. Kingston University’s Schoo</w:t>
      </w:r>
      <w:r w:rsidRPr="2030048C">
        <w:rPr>
          <w:rFonts w:ascii="Arial" w:eastAsia="Arial" w:hAnsi="Arial" w:cs="Arial"/>
          <w:sz w:val="24"/>
          <w:szCs w:val="24"/>
        </w:rPr>
        <w:t>l of</w:t>
      </w:r>
      <w:r w:rsidRPr="2030048C">
        <w:rPr>
          <w:rFonts w:ascii="Arial" w:eastAsia="Arial" w:hAnsi="Arial" w:cs="Arial"/>
          <w:sz w:val="24"/>
          <w:szCs w:val="24"/>
        </w:rPr>
        <w:t xml:space="preserve"> Computer Science and Mathematics has a number of leading research teams and output from their work is used to inform the content of learning materials, c</w:t>
      </w:r>
      <w:r w:rsidRPr="2030048C">
        <w:rPr>
          <w:rFonts w:ascii="Arial" w:eastAsia="Arial" w:hAnsi="Arial" w:cs="Arial"/>
          <w:sz w:val="24"/>
          <w:szCs w:val="24"/>
        </w:rPr>
        <w:t>ase studies and practical exercises etc., used within the taught degree.</w:t>
      </w:r>
      <w:r w:rsidRPr="2030048C">
        <w:rPr>
          <w:rFonts w:ascii="Arial" w:eastAsia="Arial" w:hAnsi="Arial" w:cs="Arial"/>
          <w:sz w:val="24"/>
          <w:szCs w:val="24"/>
        </w:rPr>
        <w:t xml:space="preserve">  </w:t>
      </w:r>
      <w:r w:rsidRPr="2030048C">
        <w:rPr>
          <w:rFonts w:ascii="Arial" w:eastAsia="Arial" w:hAnsi="Arial" w:cs="Arial"/>
          <w:sz w:val="24"/>
          <w:szCs w:val="24"/>
        </w:rPr>
        <w:t>This ensures that the cu</w:t>
      </w:r>
      <w:r w:rsidRPr="2030048C">
        <w:rPr>
          <w:rFonts w:ascii="Arial" w:eastAsia="Arial" w:hAnsi="Arial" w:cs="Arial"/>
          <w:sz w:val="24"/>
          <w:szCs w:val="24"/>
        </w:rPr>
        <w:t>rren</w:t>
      </w:r>
      <w:r w:rsidRPr="2030048C">
        <w:rPr>
          <w:rFonts w:ascii="Arial" w:eastAsia="Arial" w:hAnsi="Arial" w:cs="Arial"/>
          <w:sz w:val="24"/>
          <w:szCs w:val="24"/>
        </w:rPr>
        <w:t>cy of the content is maintained and that it reflects the latest technology, thinking and practice. For example, Research in Software Engineering is focuse</w:t>
      </w:r>
      <w:r w:rsidRPr="2030048C">
        <w:rPr>
          <w:rFonts w:ascii="Arial" w:eastAsia="Arial" w:hAnsi="Arial" w:cs="Arial"/>
          <w:sz w:val="24"/>
          <w:szCs w:val="24"/>
        </w:rPr>
        <w:t>d in the Component and Distributed Systems Research Group (CODIS). The group conducts research int</w:t>
      </w:r>
      <w:r w:rsidRPr="2030048C">
        <w:rPr>
          <w:rFonts w:ascii="Arial" w:eastAsia="Arial" w:hAnsi="Arial" w:cs="Arial"/>
          <w:sz w:val="24"/>
          <w:szCs w:val="24"/>
        </w:rPr>
        <w:t>o so</w:t>
      </w:r>
      <w:r w:rsidRPr="2030048C">
        <w:rPr>
          <w:rFonts w:ascii="Arial" w:eastAsia="Arial" w:hAnsi="Arial" w:cs="Arial"/>
          <w:sz w:val="24"/>
          <w:szCs w:val="24"/>
        </w:rPr>
        <w:t>ftware quality modelling and software architectures supporting distributed service oriented scientific and enterprise applications. The research targets d</w:t>
      </w:r>
      <w:r w:rsidRPr="2030048C">
        <w:rPr>
          <w:rFonts w:ascii="Arial" w:eastAsia="Arial" w:hAnsi="Arial" w:cs="Arial"/>
          <w:sz w:val="24"/>
          <w:szCs w:val="24"/>
        </w:rPr>
        <w:t xml:space="preserve">iverse environments, ranging from Cloud Computing to dedicated scalable high performance clusters </w:t>
      </w:r>
      <w:r w:rsidRPr="2030048C">
        <w:rPr>
          <w:rFonts w:ascii="Arial" w:eastAsia="Arial" w:hAnsi="Arial" w:cs="Arial"/>
          <w:sz w:val="24"/>
          <w:szCs w:val="24"/>
        </w:rPr>
        <w:t>with</w:t>
      </w:r>
      <w:r w:rsidRPr="2030048C">
        <w:rPr>
          <w:rFonts w:ascii="Arial" w:eastAsia="Arial" w:hAnsi="Arial" w:cs="Arial"/>
          <w:sz w:val="24"/>
          <w:szCs w:val="24"/>
        </w:rPr>
        <w:t xml:space="preserve"> a special focus on the management of system resources and distributed services. In addition the CODIS is developing generic software quality models and m</w:t>
      </w:r>
      <w:r w:rsidRPr="2030048C">
        <w:rPr>
          <w:rFonts w:ascii="Arial" w:eastAsia="Arial" w:hAnsi="Arial" w:cs="Arial"/>
          <w:sz w:val="24"/>
          <w:szCs w:val="24"/>
        </w:rPr>
        <w:t>etrics that allow meeting not only users’ functional requirements but also their non-functional re</w:t>
      </w:r>
      <w:r w:rsidRPr="2030048C">
        <w:rPr>
          <w:rFonts w:ascii="Arial" w:eastAsia="Arial" w:hAnsi="Arial" w:cs="Arial"/>
          <w:sz w:val="24"/>
          <w:szCs w:val="24"/>
        </w:rPr>
        <w:t>quir</w:t>
      </w:r>
      <w:r w:rsidRPr="2030048C">
        <w:rPr>
          <w:rFonts w:ascii="Arial" w:eastAsia="Arial" w:hAnsi="Arial" w:cs="Arial"/>
          <w:sz w:val="24"/>
          <w:szCs w:val="24"/>
        </w:rPr>
        <w:t>ements in the form of Quality of Service (QoS). The group is also developing new solutions for the integrated management of data, information and knowledg</w:t>
      </w:r>
      <w:r w:rsidRPr="2030048C">
        <w:rPr>
          <w:rFonts w:ascii="Arial" w:eastAsia="Arial" w:hAnsi="Arial" w:cs="Arial"/>
          <w:sz w:val="24"/>
          <w:szCs w:val="24"/>
        </w:rPr>
        <w:t>e using service oriented, component and distributed technologies. Moreover, aspects of usability a</w:t>
      </w:r>
      <w:r w:rsidRPr="2030048C">
        <w:rPr>
          <w:rFonts w:ascii="Arial" w:eastAsia="Arial" w:hAnsi="Arial" w:cs="Arial"/>
          <w:sz w:val="24"/>
          <w:szCs w:val="24"/>
        </w:rPr>
        <w:t xml:space="preserve">s a </w:t>
      </w:r>
      <w:r w:rsidRPr="2030048C">
        <w:rPr>
          <w:rFonts w:ascii="Arial" w:eastAsia="Arial" w:hAnsi="Arial" w:cs="Arial"/>
          <w:sz w:val="24"/>
          <w:szCs w:val="24"/>
        </w:rPr>
        <w:t>software quality factor are conducted within the User Experience Research Group. The Digital Media for HealthCare Group has developed, for example, system</w:t>
      </w:r>
      <w:r w:rsidRPr="2030048C">
        <w:rPr>
          <w:rFonts w:ascii="Arial" w:eastAsia="Arial" w:hAnsi="Arial" w:cs="Arial"/>
          <w:sz w:val="24"/>
          <w:szCs w:val="24"/>
        </w:rPr>
        <w:t>s for personalised healthcare, mobile applications, and quality of service management in 4G networ</w:t>
      </w:r>
      <w:r w:rsidRPr="2030048C">
        <w:rPr>
          <w:rFonts w:ascii="Arial" w:eastAsia="Arial" w:hAnsi="Arial" w:cs="Arial"/>
          <w:sz w:val="24"/>
          <w:szCs w:val="24"/>
        </w:rPr>
        <w:t xml:space="preserve">ks. </w:t>
      </w:r>
      <w:r w:rsidRPr="2030048C">
        <w:rPr>
          <w:rFonts w:ascii="Arial" w:eastAsia="Arial" w:hAnsi="Arial" w:cs="Arial"/>
          <w:sz w:val="24"/>
          <w:szCs w:val="24"/>
        </w:rPr>
        <w:t> </w:t>
      </w:r>
      <w:r w:rsidRPr="2030048C">
        <w:rPr>
          <w:rFonts w:ascii="Arial" w:eastAsia="Arial" w:hAnsi="Arial" w:cs="Arial"/>
          <w:sz w:val="24"/>
          <w:szCs w:val="24"/>
        </w:rPr>
        <w:t>The Digital Information Research Centre has developed applications for querying databases of CCTV footage, and for controlling distributed networks of ca</w:t>
      </w:r>
      <w:r w:rsidRPr="2030048C">
        <w:rPr>
          <w:rFonts w:ascii="Arial" w:eastAsia="Arial" w:hAnsi="Arial" w:cs="Arial"/>
          <w:sz w:val="24"/>
          <w:szCs w:val="24"/>
        </w:rPr>
        <w:t xml:space="preserve">meras.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Therefore the expertise and research awareness of staff from both institutions feeds thro</w:t>
      </w:r>
      <w:r w:rsidRPr="2030048C">
        <w:rPr>
          <w:rFonts w:ascii="Arial" w:eastAsia="Arial" w:hAnsi="Arial" w:cs="Arial"/>
          <w:sz w:val="24"/>
          <w:szCs w:val="24"/>
        </w:rPr>
        <w:t xml:space="preserve">ugh </w:t>
      </w:r>
      <w:r w:rsidRPr="2030048C">
        <w:rPr>
          <w:rFonts w:ascii="Arial" w:eastAsia="Arial" w:hAnsi="Arial" w:cs="Arial"/>
          <w:sz w:val="24"/>
          <w:szCs w:val="24"/>
        </w:rPr>
        <w:t>to support learning in lectures and other forms of student engagement during contact time. It is also expected that both students and staff from the two i</w:t>
      </w:r>
      <w:r w:rsidRPr="2030048C">
        <w:rPr>
          <w:rFonts w:ascii="Arial" w:eastAsia="Arial" w:hAnsi="Arial" w:cs="Arial"/>
          <w:sz w:val="24"/>
          <w:szCs w:val="24"/>
        </w:rPr>
        <w:t>nstitutions would be actively seeking opportunities to establish research collaborations.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 xml:space="preserve">Students are supported by a highly qualified team of academic staff that includes individuals in the following roles: </w:t>
      </w:r>
    </w:p>
    <w:p w:rsidRPr="2030048C" w:rsidP="2030048C">
      <w:pPr>
        <w:numPr>
          <w:ilvl w:val="0"/>
          <w:numId w:val="25"/>
        </w:numPr>
        <w:ind w:left="720" w:right="0" w:hanging="360"/>
        <w:jc w:val="left"/>
        <w:rPr>
          <w:rFonts w:ascii="Arial" w:eastAsia="Arial" w:hAnsi="Arial" w:cs="Arial"/>
          <w:sz w:val="24"/>
          <w:szCs w:val="24"/>
        </w:rPr>
      </w:pPr>
      <w:r w:rsidRPr="2030048C">
        <w:rPr>
          <w:rFonts w:ascii="Arial" w:eastAsia="Arial" w:hAnsi="Arial" w:cs="Arial"/>
          <w:sz w:val="24"/>
          <w:szCs w:val="24"/>
        </w:rPr>
        <w:t>A Course Director to help students understand the programme structure</w:t>
      </w:r>
    </w:p>
    <w:p w:rsidRPr="2030048C" w:rsidP="2030048C">
      <w:pPr>
        <w:numPr>
          <w:ilvl w:val="0"/>
          <w:numId w:val="25"/>
        </w:numPr>
        <w:ind w:left="720" w:right="0" w:hanging="360"/>
        <w:jc w:val="left"/>
        <w:rPr>
          <w:rFonts w:ascii="Arial" w:eastAsia="Arial" w:hAnsi="Arial" w:cs="Arial"/>
          <w:sz w:val="24"/>
          <w:szCs w:val="24"/>
        </w:rPr>
      </w:pPr>
      <w:r w:rsidRPr="2030048C">
        <w:rPr>
          <w:rFonts w:ascii="Arial" w:eastAsia="Arial" w:hAnsi="Arial" w:cs="Arial"/>
          <w:sz w:val="24"/>
          <w:szCs w:val="24"/>
        </w:rPr>
        <w:t>A Pers</w:t>
      </w:r>
      <w:r w:rsidRPr="2030048C">
        <w:rPr>
          <w:rFonts w:ascii="Arial" w:eastAsia="Arial" w:hAnsi="Arial" w:cs="Arial"/>
          <w:sz w:val="24"/>
          <w:szCs w:val="24"/>
        </w:rPr>
        <w:t>onal</w:t>
      </w:r>
      <w:r w:rsidRPr="2030048C">
        <w:rPr>
          <w:rFonts w:ascii="Arial" w:eastAsia="Arial" w:hAnsi="Arial" w:cs="Arial"/>
          <w:sz w:val="24"/>
          <w:szCs w:val="24"/>
        </w:rPr>
        <w:t xml:space="preserve"> Tutor to help and guide the student throughout the cours</w:t>
      </w:r>
      <w:r w:rsidRPr="2030048C">
        <w:rPr>
          <w:rFonts w:ascii="Arial" w:eastAsia="Arial" w:hAnsi="Arial" w:cs="Arial"/>
          <w:sz w:val="24"/>
          <w:szCs w:val="24"/>
        </w:rPr>
        <w:t>e</w:t>
      </w:r>
    </w:p>
    <w:p w:rsidRPr="2030048C" w:rsidP="2030048C">
      <w:pPr>
        <w:numPr>
          <w:ilvl w:val="0"/>
          <w:numId w:val="2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Module Leader for each module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Additional support is provided by the following specialist staff:</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A designated Programme Adm</w:t>
      </w:r>
      <w:r w:rsidRPr="2030048C">
        <w:rPr>
          <w:rFonts w:ascii="Arial" w:eastAsia="Arial" w:hAnsi="Arial" w:cs="Arial"/>
          <w:sz w:val="24"/>
          <w:szCs w:val="24"/>
        </w:rPr>
        <w:t>inis</w:t>
      </w:r>
      <w:r w:rsidRPr="2030048C">
        <w:rPr>
          <w:rFonts w:ascii="Arial" w:eastAsia="Arial" w:hAnsi="Arial" w:cs="Arial"/>
          <w:sz w:val="24"/>
          <w:szCs w:val="24"/>
        </w:rPr>
        <w:t>trator</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English language support if required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Matters outside the academic arena are supported by:</w:t>
      </w:r>
    </w:p>
    <w:p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Student support facilities that provide advice on issues such as finance, regulations, legal matters, accommodation, international student support etc. </w:t>
      </w:r>
    </w:p>
    <w:p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A</w:t>
      </w:r>
      <w:r w:rsidRPr="2030048C">
        <w:rPr>
          <w:rFonts w:ascii="Arial" w:eastAsia="Arial" w:hAnsi="Arial" w:cs="Arial"/>
          <w:sz w:val="24"/>
          <w:szCs w:val="24"/>
        </w:rPr>
        <w:t>n in</w:t>
      </w:r>
      <w:r w:rsidRPr="2030048C">
        <w:rPr>
          <w:rFonts w:ascii="Arial" w:eastAsia="Arial" w:hAnsi="Arial" w:cs="Arial"/>
          <w:sz w:val="24"/>
          <w:szCs w:val="24"/>
        </w:rPr>
        <w:t>duction week at the beginning of each new aca</w:t>
      </w:r>
      <w:r w:rsidRPr="2030048C">
        <w:rPr>
          <w:rFonts w:ascii="Arial" w:eastAsia="Arial" w:hAnsi="Arial" w:cs="Arial"/>
          <w:sz w:val="24"/>
          <w:szCs w:val="24"/>
        </w:rPr>
        <w:t>demic session</w:t>
      </w:r>
    </w:p>
    <w:p w:rsidRPr="2030048C" w:rsidP="2030048C">
      <w:pPr>
        <w:numPr>
          <w:ilvl w:val="0"/>
          <w:numId w:val="28"/>
        </w:numPr>
        <w:ind w:left="720" w:right="0" w:hanging="360"/>
        <w:jc w:val="left"/>
        <w:rPr>
          <w:rFonts w:ascii="Arial" w:eastAsia="Arial" w:hAnsi="Arial" w:cs="Arial"/>
          <w:sz w:val="24"/>
          <w:szCs w:val="24"/>
        </w:rPr>
      </w:pPr>
      <w:r w:rsidRPr="2030048C">
        <w:rPr>
          <w:rFonts w:ascii="Arial" w:eastAsia="Arial" w:hAnsi="Arial" w:cs="Arial"/>
          <w:sz w:val="24"/>
          <w:szCs w:val="24"/>
        </w:rPr>
        <w:t>Staff Student Consultative Committee</w:t>
      </w:r>
    </w:p>
    <w:p w:rsidRPr="2030048C" w:rsidP="2030048C">
      <w:pPr>
        <w:numPr>
          <w:ilvl w:val="0"/>
          <w:numId w:val="28"/>
        </w:numPr>
        <w:ind w:left="720" w:right="0" w:hanging="360"/>
        <w:jc w:val="left"/>
        <w:rPr>
          <w:rFonts w:ascii="Arial" w:eastAsia="Arial" w:hAnsi="Arial" w:cs="Arial"/>
          <w:sz w:val="24"/>
          <w:szCs w:val="24"/>
        </w:rPr>
      </w:pPr>
      <w:r w:rsidRPr="2030048C">
        <w:rPr>
          <w:rFonts w:ascii="Arial" w:eastAsia="Arial" w:hAnsi="Arial" w:cs="Arial"/>
          <w:sz w:val="24"/>
          <w:szCs w:val="24"/>
        </w:rPr>
        <w:t>Canvas a versatile on-line interactive learning management system available on the university’s intranet</w:t>
      </w:r>
    </w:p>
    <w:p w:rsidRPr="2030048C" w:rsidP="2030048C">
      <w:pPr>
        <w:rPr>
          <w:rFonts w:ascii="Arial" w:eastAsia="Arial" w:hAnsi="Arial" w:cs="Arial"/>
          <w:sz w:val="24"/>
          <w:szCs w:val="24"/>
        </w:rPr>
      </w:pPr>
      <w:r w:rsidRPr="2030048C">
        <w:rPr>
          <w:rFonts w:ascii="Arial" w:eastAsia="Arial" w:hAnsi="Arial" w:cs="Arial"/>
          <w:i/>
          <w:iCs/>
          <w:sz w:val="24"/>
          <w:szCs w:val="24"/>
        </w:rPr>
        <w:t>Support for Academic Skills</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Student Support T</w:t>
      </w:r>
      <w:r w:rsidRPr="2030048C">
        <w:rPr>
          <w:rFonts w:ascii="Arial" w:eastAsia="Arial" w:hAnsi="Arial" w:cs="Arial"/>
          <w:sz w:val="24"/>
          <w:szCs w:val="24"/>
        </w:rPr>
        <w:t xml:space="preserve">eam </w:t>
      </w:r>
      <w:r w:rsidRPr="2030048C">
        <w:rPr>
          <w:rFonts w:ascii="Arial" w:eastAsia="Arial" w:hAnsi="Arial" w:cs="Arial"/>
          <w:sz w:val="24"/>
          <w:szCs w:val="24"/>
        </w:rPr>
        <w:t>help students with any problem which has an e</w:t>
      </w:r>
      <w:r w:rsidRPr="2030048C">
        <w:rPr>
          <w:rFonts w:ascii="Arial" w:eastAsia="Arial" w:hAnsi="Arial" w:cs="Arial"/>
          <w:sz w:val="24"/>
          <w:szCs w:val="24"/>
        </w:rPr>
        <w:t xml:space="preserve">ffect on their studies. This can range from illness, problems writing an assignment, questions about academic regulations to serious confidential issues. </w:t>
      </w:r>
    </w:p>
    <w:p w:rsidRPr="2030048C" w:rsidP="2030048C">
      <w:pPr>
        <w:rPr>
          <w:rFonts w:ascii="Arial" w:eastAsia="Arial" w:hAnsi="Arial" w:cs="Arial"/>
          <w:sz w:val="24"/>
          <w:szCs w:val="24"/>
        </w:rPr>
      </w:pPr>
      <w:r w:rsidRPr="2030048C">
        <w:rPr>
          <w:rFonts w:ascii="Arial" w:eastAsia="Arial" w:hAnsi="Arial" w:cs="Arial"/>
          <w:sz w:val="24"/>
          <w:szCs w:val="24"/>
        </w:rPr>
        <w:t xml:space="preserve">The students are introduced to all these mechanisms </w:t>
      </w:r>
      <w:r w:rsidRPr="2030048C">
        <w:rPr>
          <w:rFonts w:ascii="Arial" w:eastAsia="Arial" w:hAnsi="Arial" w:cs="Arial"/>
          <w:sz w:val="24"/>
          <w:szCs w:val="24"/>
        </w:rPr>
        <w:t>duri</w:t>
      </w:r>
      <w:r w:rsidRPr="2030048C">
        <w:rPr>
          <w:rFonts w:ascii="Arial" w:eastAsia="Arial" w:hAnsi="Arial" w:cs="Arial"/>
          <w:sz w:val="24"/>
          <w:szCs w:val="24"/>
        </w:rPr>
        <w:t>ng induction sessions at the beginning of eac</w:t>
      </w:r>
      <w:r w:rsidRPr="2030048C">
        <w:rPr>
          <w:rFonts w:ascii="Arial" w:eastAsia="Arial" w:hAnsi="Arial" w:cs="Arial"/>
          <w:sz w:val="24"/>
          <w:szCs w:val="24"/>
        </w:rPr>
        <w:t xml:space="preserve">h new academic year. It is here that the students first encounter the university’s computer network, which includes their personal access to Canvas and how to use it as a learning environment. </w:t>
      </w:r>
    </w:p>
    <w:p w:rsidRPr="2030048C" w:rsidP="2030048C">
      <w:pPr>
        <w:rPr>
          <w:rFonts w:ascii="Arial" w:eastAsia="Arial" w:hAnsi="Arial" w:cs="Arial"/>
          <w:sz w:val="24"/>
          <w:szCs w:val="24"/>
        </w:rPr>
      </w:pPr>
      <w:r w:rsidRPr="2030048C">
        <w:rPr>
          <w:rFonts w:ascii="Arial" w:eastAsia="Arial" w:hAnsi="Arial" w:cs="Arial"/>
          <w:sz w:val="24"/>
          <w:szCs w:val="24"/>
        </w:rPr>
        <w:t xml:space="preserve">Students are </w:t>
      </w:r>
      <w:r w:rsidRPr="2030048C">
        <w:rPr>
          <w:rFonts w:ascii="Arial" w:eastAsia="Arial" w:hAnsi="Arial" w:cs="Arial"/>
          <w:sz w:val="24"/>
          <w:szCs w:val="24"/>
        </w:rPr>
        <w:t>expe</w:t>
      </w:r>
      <w:r w:rsidRPr="2030048C">
        <w:rPr>
          <w:rFonts w:ascii="Arial" w:eastAsia="Arial" w:hAnsi="Arial" w:cs="Arial"/>
          <w:sz w:val="24"/>
          <w:szCs w:val="24"/>
        </w:rPr>
        <w:t>cted to be involved in the development of the</w:t>
      </w:r>
      <w:r w:rsidRPr="2030048C">
        <w:rPr>
          <w:rFonts w:ascii="Arial" w:eastAsia="Arial" w:hAnsi="Arial" w:cs="Arial"/>
          <w:sz w:val="24"/>
          <w:szCs w:val="24"/>
        </w:rPr>
        <w:t>ir programme. On an individual level through meetings with their course director/personal tutor at which they can discuss their academic progress, personal development and can seek advice on course and modul</w:t>
      </w:r>
      <w:r w:rsidRPr="2030048C">
        <w:rPr>
          <w:rFonts w:ascii="Arial" w:eastAsia="Arial" w:hAnsi="Arial" w:cs="Arial"/>
          <w:sz w:val="24"/>
          <w:szCs w:val="24"/>
        </w:rPr>
        <w:t>e ch</w:t>
      </w:r>
      <w:r w:rsidRPr="2030048C">
        <w:rPr>
          <w:rFonts w:ascii="Arial" w:eastAsia="Arial" w:hAnsi="Arial" w:cs="Arial"/>
          <w:sz w:val="24"/>
          <w:szCs w:val="24"/>
        </w:rPr>
        <w:t>oices in the light of their career aspiration</w:t>
      </w:r>
      <w:r w:rsidRPr="2030048C">
        <w:rPr>
          <w:rFonts w:ascii="Arial" w:eastAsia="Arial" w:hAnsi="Arial" w:cs="Arial"/>
          <w:sz w:val="24"/>
          <w:szCs w:val="24"/>
        </w:rPr>
        <w:t xml:space="preserve">s. As a cohort, students can contribute to many aspects of programme evolution, for example by student representation on committees including Staff Student Consultative Committees as well as by their formal </w:t>
      </w:r>
      <w:r w:rsidRPr="2030048C">
        <w:rPr>
          <w:rFonts w:ascii="Arial" w:eastAsia="Arial" w:hAnsi="Arial" w:cs="Arial"/>
          <w:sz w:val="24"/>
          <w:szCs w:val="24"/>
        </w:rPr>
        <w:t xml:space="preserve">and </w:t>
      </w:r>
      <w:r w:rsidRPr="2030048C">
        <w:rPr>
          <w:rFonts w:ascii="Arial" w:eastAsia="Arial" w:hAnsi="Arial" w:cs="Arial"/>
          <w:sz w:val="24"/>
          <w:szCs w:val="24"/>
        </w:rPr>
        <w:t xml:space="preserve">informal feedback such as the mid-module and </w:t>
      </w:r>
      <w:r w:rsidRPr="2030048C">
        <w:rPr>
          <w:rFonts w:ascii="Arial" w:eastAsia="Arial" w:hAnsi="Arial" w:cs="Arial"/>
          <w:sz w:val="24"/>
          <w:szCs w:val="24"/>
        </w:rPr>
        <w:t>end-of-module reviews.</w:t>
      </w:r>
    </w:p>
    <w:p w:rsidRPr="2030048C" w:rsidP="2030048C">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i/>
          <w:iCs/>
          <w:sz w:val="24"/>
          <w:szCs w:val="24"/>
        </w:rPr>
        <w:t xml:space="preserve">The Personal Tutoring Scheme </w:t>
      </w:r>
    </w:p>
    <w:p w:rsidRPr="2030048C" w:rsidP="2030048C">
      <w:pPr>
        <w:rPr>
          <w:rFonts w:ascii="Arial" w:eastAsia="Arial" w:hAnsi="Arial" w:cs="Arial"/>
          <w:sz w:val="24"/>
          <w:szCs w:val="24"/>
        </w:rPr>
      </w:pPr>
      <w:r w:rsidRPr="2030048C">
        <w:rPr>
          <w:rFonts w:ascii="Arial" w:eastAsia="Arial" w:hAnsi="Arial" w:cs="Arial"/>
          <w:sz w:val="24"/>
          <w:szCs w:val="24"/>
        </w:rPr>
        <w:t>A Personal Tutor is allocated to each MSc student. Personal Tutors are recruited from the Course team – to ensure the students have the opportunity to be</w:t>
      </w:r>
      <w:r w:rsidRPr="2030048C">
        <w:rPr>
          <w:rFonts w:ascii="Arial" w:eastAsia="Arial" w:hAnsi="Arial" w:cs="Arial"/>
          <w:sz w:val="24"/>
          <w:szCs w:val="24"/>
        </w:rPr>
        <w:t>nefi</w:t>
      </w:r>
      <w:r w:rsidRPr="2030048C">
        <w:rPr>
          <w:rFonts w:ascii="Arial" w:eastAsia="Arial" w:hAnsi="Arial" w:cs="Arial"/>
          <w:sz w:val="24"/>
          <w:szCs w:val="24"/>
        </w:rPr>
        <w:t>t from various aspects of the profession that</w:t>
      </w:r>
      <w:r w:rsidRPr="2030048C">
        <w:rPr>
          <w:rFonts w:ascii="Arial" w:eastAsia="Arial" w:hAnsi="Arial" w:cs="Arial"/>
          <w:sz w:val="24"/>
          <w:szCs w:val="24"/>
        </w:rPr>
        <w:t xml:space="preserve"> each individual academic brings. The personal tutors will meet with their students sufficiently frequently to maintain close communication and manage to provide information/advise on the matters relevant at</w:t>
      </w:r>
      <w:r w:rsidRPr="2030048C">
        <w:rPr>
          <w:rFonts w:ascii="Arial" w:eastAsia="Arial" w:hAnsi="Arial" w:cs="Arial"/>
          <w:sz w:val="24"/>
          <w:szCs w:val="24"/>
        </w:rPr>
        <w:t xml:space="preserve"> the</w:t>
      </w:r>
      <w:r w:rsidRPr="2030048C">
        <w:rPr>
          <w:rFonts w:ascii="Arial" w:eastAsia="Arial" w:hAnsi="Arial" w:cs="Arial"/>
          <w:sz w:val="24"/>
          <w:szCs w:val="24"/>
        </w:rPr>
        <w:t xml:space="preserve"> start of the course, address the progression</w:t>
      </w:r>
      <w:r w:rsidRPr="2030048C">
        <w:rPr>
          <w:rFonts w:ascii="Arial" w:eastAsia="Arial" w:hAnsi="Arial" w:cs="Arial"/>
          <w:sz w:val="24"/>
          <w:szCs w:val="24"/>
        </w:rPr>
        <w:t xml:space="preserve"> and advise on the personal development leading to relevant career choices. Typically, there will be at least 2 individual meetings per teaching block, specifically at:</w:t>
      </w:r>
    </w:p>
    <w:p w:rsidRPr="2030048C" w:rsidP="2030048C">
      <w:pPr>
        <w:numPr>
          <w:ilvl w:val="0"/>
          <w:numId w:val="29"/>
        </w:numPr>
        <w:ind w:left="720" w:right="0" w:hanging="360"/>
        <w:jc w:val="left"/>
        <w:rPr>
          <w:rFonts w:ascii="Arial" w:eastAsia="Arial" w:hAnsi="Arial" w:cs="Arial"/>
          <w:sz w:val="24"/>
          <w:szCs w:val="24"/>
        </w:rPr>
      </w:pPr>
      <w:r w:rsidRPr="2030048C">
        <w:rPr>
          <w:rFonts w:ascii="Arial" w:eastAsia="Arial" w:hAnsi="Arial" w:cs="Arial"/>
          <w:sz w:val="24"/>
          <w:szCs w:val="24"/>
        </w:rPr>
        <w:t>The start of the teaching block to dis</w:t>
      </w:r>
      <w:r w:rsidRPr="2030048C">
        <w:rPr>
          <w:rFonts w:ascii="Arial" w:eastAsia="Arial" w:hAnsi="Arial" w:cs="Arial"/>
          <w:sz w:val="24"/>
          <w:szCs w:val="24"/>
        </w:rPr>
        <w:t>cuss</w:t>
      </w:r>
      <w:r w:rsidRPr="2030048C">
        <w:rPr>
          <w:rFonts w:ascii="Arial" w:eastAsia="Arial" w:hAnsi="Arial" w:cs="Arial"/>
          <w:sz w:val="24"/>
          <w:szCs w:val="24"/>
        </w:rPr>
        <w:t xml:space="preserve"> the work patterns on the course and/or the c</w:t>
      </w:r>
      <w:r w:rsidRPr="2030048C">
        <w:rPr>
          <w:rFonts w:ascii="Arial" w:eastAsia="Arial" w:hAnsi="Arial" w:cs="Arial"/>
          <w:sz w:val="24"/>
          <w:szCs w:val="24"/>
        </w:rPr>
        <w:t>hoice of electives</w:t>
      </w:r>
    </w:p>
    <w:p w:rsidRPr="2030048C" w:rsidP="2030048C">
      <w:pPr>
        <w:numPr>
          <w:ilvl w:val="0"/>
          <w:numId w:val="29"/>
        </w:numPr>
        <w:ind w:left="720" w:right="0" w:hanging="360"/>
        <w:jc w:val="left"/>
        <w:rPr>
          <w:rFonts w:ascii="Arial" w:eastAsia="Arial" w:hAnsi="Arial" w:cs="Arial"/>
          <w:sz w:val="24"/>
          <w:szCs w:val="24"/>
        </w:rPr>
      </w:pPr>
      <w:r w:rsidRPr="2030048C">
        <w:rPr>
          <w:rFonts w:ascii="Arial" w:eastAsia="Arial" w:hAnsi="Arial" w:cs="Arial"/>
          <w:sz w:val="24"/>
          <w:szCs w:val="24"/>
        </w:rPr>
        <w:t>At the end of the teaching block to review the progress of individual students</w:t>
      </w:r>
    </w:p>
    <w:p w:rsidRPr="2030048C" w:rsidP="2030048C">
      <w:pPr>
        <w:rPr>
          <w:rFonts w:ascii="Arial" w:eastAsia="Arial" w:hAnsi="Arial" w:cs="Arial"/>
          <w:sz w:val="24"/>
          <w:szCs w:val="24"/>
        </w:rPr>
      </w:pPr>
      <w:r w:rsidRPr="2030048C">
        <w:rPr>
          <w:rFonts w:ascii="Arial" w:eastAsia="Arial" w:hAnsi="Arial" w:cs="Arial"/>
          <w:sz w:val="24"/>
          <w:szCs w:val="24"/>
        </w:rPr>
        <w:t>There are also planned group meetings – one per teaching block – to discuss issues of common interest. At eac</w:t>
      </w:r>
      <w:r w:rsidRPr="2030048C">
        <w:rPr>
          <w:rFonts w:ascii="Arial" w:eastAsia="Arial" w:hAnsi="Arial" w:cs="Arial"/>
          <w:sz w:val="24"/>
          <w:szCs w:val="24"/>
        </w:rPr>
        <w:t>h of</w:t>
      </w:r>
      <w:r w:rsidRPr="2030048C">
        <w:rPr>
          <w:rFonts w:ascii="Arial" w:eastAsia="Arial" w:hAnsi="Arial" w:cs="Arial"/>
          <w:sz w:val="24"/>
          <w:szCs w:val="24"/>
        </w:rPr>
        <w:t xml:space="preserve"> these meetings the students are </w:t>
      </w:r>
      <w:r w:rsidRPr="2030048C">
        <w:rPr>
          <w:rFonts w:ascii="Arial" w:eastAsia="Arial" w:hAnsi="Arial" w:cs="Arial"/>
          <w:sz w:val="24"/>
          <w:szCs w:val="24"/>
        </w:rPr>
        <w:t>encouraged to raise issues of their concern so that they can be resolved effectively and timely in due course.</w:t>
      </w:r>
    </w:p>
    <w:p w:rsidRPr="2030048C" w:rsidP="2030048C">
      <w:pPr>
        <w:rPr>
          <w:rFonts w:ascii="Arial" w:eastAsia="Arial" w:hAnsi="Arial" w:cs="Arial"/>
          <w:sz w:val="24"/>
          <w:szCs w:val="24"/>
        </w:rPr>
      </w:pPr>
      <w:r w:rsidRPr="2030048C">
        <w:rPr>
          <w:rFonts w:ascii="Arial" w:eastAsia="Arial" w:hAnsi="Arial" w:cs="Arial"/>
          <w:i/>
          <w:iCs/>
          <w:sz w:val="24"/>
          <w:szCs w:val="24"/>
        </w:rPr>
        <w:t>Level 7: Getting the most out of the Masters</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To help students to make the transition to Masters level study </w:t>
      </w:r>
      <w:r w:rsidRPr="2030048C">
        <w:rPr>
          <w:rFonts w:ascii="Arial" w:eastAsia="Arial" w:hAnsi="Arial" w:cs="Arial"/>
          <w:sz w:val="24"/>
          <w:szCs w:val="24"/>
        </w:rPr>
        <w:t xml:space="preserve">and </w:t>
      </w:r>
      <w:r w:rsidRPr="2030048C">
        <w:rPr>
          <w:rFonts w:ascii="Arial" w:eastAsia="Arial" w:hAnsi="Arial" w:cs="Arial"/>
          <w:sz w:val="24"/>
          <w:szCs w:val="24"/>
        </w:rPr>
        <w:t>understand how to use feedback on</w:t>
      </w:r>
      <w:r w:rsidRPr="2030048C">
        <w:rPr>
          <w:rFonts w:ascii="Arial" w:eastAsia="Arial" w:hAnsi="Arial" w:cs="Arial"/>
          <w:sz w:val="24"/>
          <w:szCs w:val="24"/>
        </w:rPr>
        <w:t xml:space="preserve"> the postgraduate course </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To encourage students to be proactive in making links between their course and their professional and/or academic aspirations </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To explore students’ research aspirations </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To help students gain c</w:t>
      </w:r>
      <w:r w:rsidRPr="2030048C">
        <w:rPr>
          <w:rFonts w:ascii="Arial" w:eastAsia="Arial" w:hAnsi="Arial" w:cs="Arial"/>
          <w:sz w:val="24"/>
          <w:szCs w:val="24"/>
        </w:rPr>
        <w:t>onfi</w:t>
      </w:r>
      <w:r w:rsidRPr="2030048C">
        <w:rPr>
          <w:rFonts w:ascii="Arial" w:eastAsia="Arial" w:hAnsi="Arial" w:cs="Arial"/>
          <w:sz w:val="24"/>
          <w:szCs w:val="24"/>
        </w:rPr>
        <w:t>dence in contributing to, and lea</w:t>
      </w:r>
      <w:r w:rsidRPr="2030048C">
        <w:rPr>
          <w:rFonts w:ascii="Arial" w:eastAsia="Arial" w:hAnsi="Arial" w:cs="Arial"/>
          <w:sz w:val="24"/>
          <w:szCs w:val="24"/>
        </w:rPr>
        <w:t xml:space="preserve">rning from, constructive peer review </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To encourage students to become part of a wider disciplinary and/or professional community </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To help students to prepare for the dynamics of supervision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The University has several methods for evaluating and improving 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Periodic re</w:t>
      </w:r>
      <w:r w:rsidRPr="2030048C">
        <w:rPr>
          <w:rFonts w:ascii="Arial" w:eastAsia="Arial" w:hAnsi="Arial" w:cs="Arial"/>
          <w:sz w:val="24"/>
          <w:szCs w:val="24"/>
        </w:rPr>
        <w:t>view</w:t>
      </w:r>
      <w:r w:rsidRPr="2030048C">
        <w:rPr>
          <w:rFonts w:ascii="Arial" w:eastAsia="Arial" w:hAnsi="Arial" w:cs="Arial"/>
          <w:sz w:val="24"/>
          <w:szCs w:val="24"/>
        </w:rPr>
        <w:t xml:space="preserve"> undertaken at subject </w:t>
      </w:r>
      <w:r w:rsidRPr="2030048C">
        <w:rPr>
          <w:rFonts w:ascii="Arial" w:eastAsia="Arial" w:hAnsi="Arial" w:cs="Arial"/>
          <w:sz w:val="24"/>
          <w:szCs w:val="24"/>
        </w:rPr>
        <w:t>level</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w:t>
      </w:r>
      <w:r w:rsidRPr="2030048C">
        <w:rPr>
          <w:rFonts w:ascii="Arial" w:eastAsia="Arial" w:hAnsi="Arial" w:cs="Arial"/>
          <w:sz w:val="24"/>
          <w:szCs w:val="24"/>
        </w:rPr>
        <w:t>odule Evaluation Questionnaire (M</w:t>
      </w:r>
      <w:r w:rsidRPr="2030048C">
        <w:rPr>
          <w:rFonts w:ascii="Arial" w:eastAsia="Arial" w:hAnsi="Arial" w:cs="Arial"/>
          <w:sz w:val="24"/>
          <w:szCs w:val="24"/>
        </w:rPr>
        <w:t>EQs</w:t>
      </w:r>
      <w:r w:rsidRPr="2030048C">
        <w:rPr>
          <w:rFonts w:ascii="Arial" w:eastAsia="Arial" w:hAnsi="Arial" w:cs="Arial"/>
          <w:sz w:val="24"/>
          <w:szCs w:val="24"/>
        </w:rPr>
        <w:t>)</w:t>
      </w:r>
      <w:r w:rsidRPr="2030048C">
        <w:rPr>
          <w:rFonts w:ascii="Arial" w:eastAsia="Arial" w:hAnsi="Arial" w:cs="Arial"/>
          <w:sz w:val="24"/>
          <w:szCs w:val="24"/>
        </w:rPr>
        <w:t>, level surveys and the N</w:t>
      </w:r>
      <w:r w:rsidRPr="2030048C">
        <w:rPr>
          <w:rFonts w:ascii="Arial" w:eastAsia="Arial" w:hAnsi="Arial" w:cs="Arial"/>
          <w:sz w:val="24"/>
          <w:szCs w:val="24"/>
        </w:rPr>
        <w:t>ational Student Survey (NSS)</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95"/>
        <w:gridCol w:w="995"/>
        <w:gridCol w:w="995"/>
        <w:gridCol w:w="99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CI7260E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CI7350E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CI7250E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CI7340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multilevel"/>
    <w:tmpl w:val="74989B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4989B10"/>
    <w:multiLevelType w:val="multilevel"/>
    <w:tmpl w:val="74989B1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ell">
    <w:name w:val="cell"/>
    <w:basedOn w:val="ListParagraph"/>
  </w:style>
  <w:style w:type="paragraph" w:customStyle="1" w:styleId="Pa3">
    <w:name w:val="Pa3"/>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BB56275-7C5C-4960-A74A-3414ACCA7A1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