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Renewable Energy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Renewable Energy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Renewable Energy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Renewable Energy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Renewable Energy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PPREE1REE03</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PFREE1REE03</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Renewable Energy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Renewable Energy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Renewable Energy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Renewable Energy Engineering Studies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PFREE1REE99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widowControl w:val="0"/>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Institution of Mechanical Engineers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to be awarded the MSc Renewable Energy Studies.</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main aims of the MSc in Renewable Energy Engineering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an in-depth knowledge and critical understanding of the theoretical principles and practical approaches used in renewable energy engineering.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develop the skills in research, analysis, creativity, and critical thinking needed to successfully plan and execute a renewable engineering project.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develop the skills required to work in a multi-disciplinary team within an engineering organisation with real industrial constraints and good understanding of the environmental, economical, social, and legal implications of professional practice and professional codes of conduct.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the professional attitudes and wide range of transferable skills in engineering and project management which would enable them to develop and exploit their knowledge and technical expertise in the furtherance of their career and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provide students with a strategic overview of management issues in engineering, particularly in the sustainable energy sector.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knowledge and understanding of the principles governing renewable energy engineering in the context of design and development of the renewable technologies and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computer-based and other advanced technologies to a wide range of renewable energy engineering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renewable energy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modern materials and manufacturing processes for mechanical components associated with renewable energy engineering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Comprehend and evaluate renewable project finance including the management and techniques needed for pricing and cost control of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field of Renewable Energy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tools and techniques for the improvement of quality in renewable energy engineering systems products and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comprehensive knowledge of the principles and detailed requirements for the management of safety and quality issues with respect to renewable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to enable the problems and issues to be successfully resolved.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resources needed to undertake the task (or project) and to schedule and manage the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of the nature, scope and objectives of the varying organisations and inter-firm relationships that are present in engineering, particularly relating to efficient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be able to critically evaluate, analyse and communicate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ability to successfully complete and evaluate a task (or project), revising the plan where necessary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good awareness of the impact of renewable technology and related projects at social, environmental, economical and political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appropriate software tools for the design and analysis of mechanical components and renewable energy management and control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the renewable energy engineering business environment, including legal aspects, and apply modern operations and financial management techniques and good practices in a range of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Motivate and direct others to enable an effective contribution from all participants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knowledge and understanding in the use of computer aided technologies for modelling, simulation and prototyping renewable energy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predicted that renewable energy will represent 30% of the world energy supply by 2030. This means that there will be great demand for qualified and skilled engineers with specialist knowledge of renewable energy technology. This course is designed to produce engineers with a broad understanding of renewable energy systems design and development, project engineering, and energy resource management and a detailed understanding of a range of renewable energy technologies.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main features of the course are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Teaching by leading academics and industry experts in the fields of solar, wind, biomass and fuel cells which considers theoretical and practical concepts for power generation from renewable sources.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Opportunities to develop hands on skills in 3D solid modelling, FEA and CFD analysis, and specialist simulation packages such as Polysun and Wind-Pro.</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Presentations by renewable energy providers and consultancy firms outlining their activities and market experiences.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Field trips to major renewable energy sites integrated with major assignments to motivate and enhance students teaching and learning.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Individually tailored sponsored and non-sponsored dissertation projects in the areas of wind, solar, biofuels and fuel-cell technologies, supervised by a committed team of full time and part time staff.</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Programme accredited by the Institute of Mechanical Engineers (IMechE), as meeting the requirements for Further Learning for a Chartered Engineer (CEng) for candidates who have already acquired an accredited CEng (Partial) BEng (Hons) degree.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High rate of employment and internship with leading renewable companies; 80% of the students graduated on this course have been recruited by relevant employers such as Atkins, Alstom Power, Inditex, Vattenfall, Shell, SGS UK Ltd.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Possible progression to PhD research studies on completion of the programme for those students interested in following an academic or research career.</w:t>
      </w:r>
    </w:p>
    <w:p w:rsidRPr="2030048C" w:rsidP="2030048C">
      <w:pPr>
        <w:ind w:left="72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also helps develop employment-ready students through an integrated industrial experience in the form of a work placement on the two-year version of the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 Postgraduate Regulations (PR). Programmes in the PR are made up of modules which are designated at level 7. Single modules in the framework are valued at 15 &amp; 30 credits and the programme consists of 3 subject specific single 15 credit modules (3 core &amp; 1 optional), 2 subject specific single 30 credit modules and the capstone project module valued as 2 single modules (60 credits). A Postgraduate Certificate (PgCert) or Postgraduate Diploma (PgDip) may be offered as an exit award, with the minimum requirement for a PgCert of 60 credits and PgDip of 120 credits. The MSc award is achieved with 180 credits completed of (all modules and the final dissertation).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to Engineering Council regulations. The award of the accredited MSc requires completion of all modules with only 20 credits compensation; however, 30 credits of compensation is allowed under University Postgraduate Regulations and, in the event that no further resit opportunities are available, compensation may be applied, and the award of MSc Renewable Energy Studies awarded. This award is not accredited with the IMechE.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 offers the PG Certificate (PgCert), PG Diploma (PgDip) and MSc Renewable Energy Studies only as an exit award.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and specific additions that are sometimes required for accreditation by outside bodies (e.g., professional, or statutory bodies that confer professional accreditation).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Renewable Energy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Renewable Energy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Fuel Cells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Renewable Design &amp; Performance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Solar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Wind Power Technology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Fluid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ME7754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Renewable Energy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principles of teaching, learning and assessment are in line with the University's strategy. The fields are designed to give students a balanced portfolio of theoretical and practical experience, embracing diversity and individuality.</w:t>
      </w:r>
    </w:p>
    <w:p w:rsidRPr="2030048C" w:rsidP="2030048C">
      <w:pPr>
        <w:rPr>
          <w:rFonts w:ascii="Arial" w:eastAsia="Arial" w:hAnsi="Arial" w:cs="Arial"/>
          <w:sz w:val="24"/>
          <w:szCs w:val="24"/>
        </w:rPr>
      </w:pP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The external lecturers in particular promote innovation and creativity whilst offering an insight into entrepreneurial culture.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rsidRPr="2030048C" w:rsidP="2030048C">
      <w:pPr>
        <w:rPr>
          <w:rFonts w:ascii="Arial" w:eastAsia="Arial" w:hAnsi="Arial" w:cs="Arial"/>
          <w:sz w:val="24"/>
          <w:szCs w:val="24"/>
        </w:rPr>
      </w:pPr>
      <w:r w:rsidRPr="2030048C">
        <w:rPr>
          <w:rFonts w:ascii="Arial" w:eastAsia="Arial" w:hAnsi="Arial" w:cs="Arial"/>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r w:rsidRPr="2030048C">
        <w:rPr>
          <w:rFonts w:ascii="Arial" w:eastAsia="Arial" w:hAnsi="Arial" w:cs="Arial"/>
          <w:sz w:val="24"/>
          <w:szCs w:val="24"/>
        </w:rPr>
        <w:t>.</w:t>
      </w:r>
    </w:p>
    <w:p w:rsidRPr="2030048C" w:rsidP="2030048C">
      <w:pPr>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2030048C" w:rsidP="2030048C">
      <w:pPr>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Pr="2030048C" w:rsidP="2030048C">
      <w:pPr>
        <w:rPr>
          <w:rFonts w:ascii="Arial" w:eastAsia="Arial" w:hAnsi="Arial" w:cs="Arial"/>
          <w:sz w:val="24"/>
          <w:szCs w:val="24"/>
        </w:rPr>
      </w:pPr>
      <w:r w:rsidRPr="2030048C">
        <w:rPr>
          <w:rFonts w:ascii="Arial" w:eastAsia="Arial" w:hAnsi="Arial" w:cs="Arial"/>
          <w:sz w:val="24"/>
          <w:szCs w:val="24"/>
        </w:rPr>
        <w:t>The individual project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2030048C">
        <w:rPr>
          <w:rFonts w:ascii="Arial" w:eastAsia="Arial" w:hAnsi="Arial" w:cs="Arial"/>
          <w:sz w:val="24"/>
          <w:szCs w:val="24"/>
        </w:rPr>
        <w:t>.</w:t>
      </w:r>
      <w:r w:rsidRPr="2030048C">
        <w:rPr>
          <w:rFonts w:ascii="Arial" w:eastAsia="Arial" w:hAnsi="Arial" w:cs="Arial"/>
          <w:sz w:val="24"/>
          <w:szCs w:val="24"/>
        </w:rPr>
        <w:t xml:space="preserve"> The project work is normally aligned with the research field of the staff involved and often leads to students publishing of join papers with their project supervisor.</w:t>
      </w:r>
    </w:p>
    <w:p w:rsidRPr="2030048C" w:rsidP="2030048C">
      <w:pPr>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w:t>
      </w:r>
    </w:p>
    <w:p w:rsidRPr="2030048C" w:rsidP="2030048C">
      <w:pPr>
        <w:rPr>
          <w:rFonts w:ascii="Arial" w:eastAsia="Arial" w:hAnsi="Arial" w:cs="Arial"/>
          <w:sz w:val="24"/>
          <w:szCs w:val="24"/>
        </w:rPr>
      </w:pPr>
      <w:r w:rsidRPr="2030048C">
        <w:rPr>
          <w:rFonts w:ascii="Arial" w:eastAsia="Arial" w:hAnsi="Arial" w:cs="Arial"/>
          <w:sz w:val="24"/>
          <w:szCs w:val="24"/>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w:t>
      </w:r>
    </w:p>
    <w:p w:rsidRPr="2030048C" w:rsidP="2030048C">
      <w:pPr>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Pr="2030048C" w:rsidP="2030048C">
      <w:pPr>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Wind-Pro, Polysun and GaBi/Sima Pro in the curriculum. Digital tools such as a team’s work file syncs Cloud, VLE assessment and YouTube videos are used to enhance the quality of student learning experience.</w:t>
      </w:r>
    </w:p>
    <w:p w:rsidRPr="2030048C" w:rsidP="2030048C">
      <w:pPr>
        <w:rPr>
          <w:rFonts w:ascii="Arial" w:eastAsia="Arial" w:hAnsi="Arial" w:cs="Arial"/>
          <w:sz w:val="24"/>
          <w:szCs w:val="24"/>
        </w:rPr>
      </w:pPr>
      <w:r w:rsidRPr="2030048C">
        <w:rPr>
          <w:rFonts w:ascii="Arial" w:eastAsia="Arial" w:hAnsi="Arial" w:cs="Arial"/>
          <w:sz w:val="24"/>
          <w:szCs w:val="24"/>
        </w:rPr>
        <w:t>Research-informed teaching</w:t>
      </w:r>
    </w:p>
    <w:p w:rsidRPr="2030048C" w:rsidP="2030048C">
      <w:pPr>
        <w:rPr>
          <w:rFonts w:ascii="Arial" w:eastAsia="Arial" w:hAnsi="Arial" w:cs="Arial"/>
          <w:sz w:val="24"/>
          <w:szCs w:val="24"/>
        </w:rPr>
      </w:pPr>
      <w:r w:rsidRPr="2030048C">
        <w:rPr>
          <w:rFonts w:ascii="Arial" w:eastAsia="Arial" w:hAnsi="Arial" w:cs="Arial"/>
          <w:sz w:val="24"/>
          <w:szCs w:val="24"/>
        </w:rPr>
        <w:t>Most of the module teams are engaged in engineering research or industry-related professional activities, such as Knowledge Transfer Partnerships (KTPs), which have significantly influenced the design and content of the programme. The Department’s Industrial Advisory Board also provides valuable input from industry, further informing the programme’s development.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Inclusive teaching practice</w:t>
      </w:r>
    </w:p>
    <w:p w:rsidRPr="2030048C" w:rsidP="2030048C">
      <w:pPr>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Focus on Active Learning and Enhancing student Engagement.</w:t>
      </w:r>
    </w:p>
    <w:p w:rsidRPr="2030048C" w:rsidP="2030048C">
      <w:pPr>
        <w:rPr>
          <w:rFonts w:ascii="Arial" w:eastAsia="Arial" w:hAnsi="Arial" w:cs="Arial"/>
          <w:sz w:val="24"/>
          <w:szCs w:val="24"/>
        </w:rPr>
      </w:pPr>
      <w:r w:rsidRPr="2030048C">
        <w:rPr>
          <w:rFonts w:ascii="Arial" w:eastAsia="Arial" w:hAnsi="Arial" w:cs="Arial"/>
          <w:sz w:val="24"/>
          <w:szCs w:val="24"/>
        </w:rPr>
        <w:t>The programme emphasises on active learning through collaborative, problem-solving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To further promote student engagement and sense of belonging, the programme offers various opportunities for students to interact with staff and peers, including through the personal tutorial scheme (PTS), field work, industrial visits, extra-curricular seminars, research internships, course representative system, student ambassador work, peer mentoring and outreach initiatives, as well as hands-on activities such as Formula Student, TT-Bike racing, Robotics Club and UK Talent. These efforts also support improved retention and progression among students and enhance student engagement, creativity, confidence, and self-reliance.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Development of Employability Skills</w:t>
      </w:r>
    </w:p>
    <w:p w:rsidRPr="2030048C" w:rsidP="2030048C">
      <w:pPr>
        <w:pStyle w:val="Heading2"/>
        <w:outlineLvl w:val="1"/>
        <w:rPr>
          <w:rFonts w:ascii="Arial" w:eastAsia="Arial" w:hAnsi="Arial" w:cs="Arial"/>
          <w:sz w:val="24"/>
          <w:szCs w:val="24"/>
        </w:rPr>
      </w:pPr>
      <w:r w:rsidRPr="2030048C">
        <w:rPr>
          <w:rFonts w:ascii="Arial" w:eastAsia="Arial" w:hAnsi="Arial" w:cs="Arial"/>
          <w:sz w:val="24"/>
          <w:szCs w:val="24"/>
        </w:rPr>
        <w:t>The programme not only focuses on imparting theoretical knowledge but also aims to develop a wide range of essential employability skills. This is achieved by embedding future-oriented skills throughout the curriculum via a Research Techniques, Innovation &amp; Sustainability module. Through the programme, students are equipped with effective communication, problem-solving and creative thinking skills – qualities that employers seek in postgraduates. The integration of ‘Skills for Innovation’ across both business and higher education domains ensures that graduates have the skills, experience and opportunities required to excel in their chosen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w:t>
      </w:r>
    </w:p>
    <w:p w:rsidRPr="2030048C" w:rsidP="2030048C">
      <w:pPr>
        <w:rPr>
          <w:rFonts w:ascii="Arial" w:eastAsia="Arial" w:hAnsi="Arial" w:cs="Arial"/>
          <w:sz w:val="24"/>
          <w:szCs w:val="24"/>
        </w:rPr>
      </w:pPr>
      <w:r w:rsidRPr="2030048C">
        <w:rPr>
          <w:rFonts w:ascii="Arial" w:eastAsia="Arial" w:hAnsi="Arial" w:cs="Arial"/>
          <w:sz w:val="24"/>
          <w:szCs w:val="24"/>
        </w:rPr>
        <w:t>Employability criteria identified using feedback from employers, alumni, Industrial Advisory Board, and the Institution of Mechanical Engineers (IMechE) are embedded in the curriculum. Each module is examined to determine opportunities to incorporate employability skills. The University’s academic and Careers and Employability Service teams identify appropriate provisions and tailor opportunities to bridge gaps.</w:t>
      </w:r>
    </w:p>
    <w:p w:rsidRPr="2030048C" w:rsidP="2030048C">
      <w:pPr>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who successfully complete the MSc will have acquired significant research and analytical skills in the broader engineering disciplines allied to renewable energy engineering and will have substantially enhanced prospects of gaining employment or career progression in the renewable energy engineering industry. Such skills acquired includes computational fluid flow dynamics and simulations, economic and NPV calculations, 3D system design and modelling, operational performance and field characteristics evaluation using Polysun and Wind-Pro advanced software simulation and analysis.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Typical examples of the graduated student destination so far are as follows: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Business Analyst, full time employee of Smartest Energy Plc.</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CFD analyst, worked on internship programme with Nuclear Institute in Netherland.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Inspection Engineer, full time employee of Garrad Hassan Plc.</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Project Cost Controller, full time employee of Vattenfall Wind Power Ltd specializing in offshore wind farm installation.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PV Design Engineer, full time employee of Renewable Resources Ltd, specializing in commercial PV installation.</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Institution of Mechanical Engineering (IMechE) and Engineering Council (EC) links part 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Additionally, Students are supported by a range of other course and/or university level systems, including:</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on use of IT and workshop/lab facilities.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dedicated employability consultant practitioner.</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session.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Virtual Learning Environment (VLE).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ECE Study Skills Centre (S3) that provides academic skills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KU student support facilities that provide advice on issues such as finance, regulations, legal matters, accommodation, etc.</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KU Careers and Employability Service.</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Postgraduate Taught Experience Survey (PTES)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Industrial Advisory Board</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body reaccreditation is required every four years.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Engineers (IMechE), under licence from the UK regulator, the Engineering Council, as meeting the requirements for further learning for a Chartered Engineer (CEng) status for candidates who have already acquired an accredited CEng (Partial) BEng (Hons) degree.</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667"/>
        <w:gridCol w:w="500"/>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ME7751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9A2C8A9-5573-478D-9C8F-359C422360C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