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 and Information Security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PPNIS1NIS21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PFNIS1NIS21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G900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Colombo and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tbl>
                  <w:tblPr>
                    <w:tblStyle w:val="Table"/>
                    <w:tblCellSpacing w:w="15" w:type="dxa"/>
                    <w:tblCellMar>
                      <w:top w:w="15" w:type="dxa"/>
                      <w:left w:w="15" w:type="dxa"/>
                      <w:bottom w:w="15" w:type="dxa"/>
                      <w:right w:w="15" w:type="dxa"/>
                    </w:tblCellMar>
                    <w:tblLook w:val="05E0"/>
                  </w:tblPr>
                  <w:tblGrid>
                    <w:gridCol w:w="5704"/>
                  </w:tblGrid>
                  <w:tr>
                    <w:tblPrEx>
                      <w:tblLook w:val="05E0"/>
                    </w:tblPrEx>
                    <w:tc>
                      <w:tcPr>
                        <w:noWrap w:val="0"/>
                        <w:tcMar>
                          <w:top w:w="15" w:type="dxa"/>
                          <w:left w:w="15" w:type="dxa"/>
                          <w:bottom w:w="15" w:type="dxa"/>
                          <w:right w:w="15" w:type="dxa"/>
                        </w:tcMar>
                        <w:vAlign w:val="center"/>
                        <w:hideMark/>
                      </w:tcPr>
                      <w:tbl>
                        <w:tblPr>
                          <w:tblStyle w:val="Table"/>
                          <w:tblCellSpacing w:w="15" w:type="dxa"/>
                          <w:tblCellMar>
                            <w:top w:w="15" w:type="dxa"/>
                            <w:left w:w="15" w:type="dxa"/>
                            <w:bottom w:w="15" w:type="dxa"/>
                            <w:right w:w="15" w:type="dxa"/>
                          </w:tblCellMar>
                          <w:tblLook w:val="05E0"/>
                        </w:tblPr>
                        <w:tblGrid>
                          <w:gridCol w:w="5740"/>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applicants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Each application is assessed on an individual basis and may be subject to additional requirements, such as undertaking short course(s), work experience and/or English language qualification(s). Meeting minimum entry requirements does not automatically guarantee a place.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u w:val="single"/>
                                  <w:shd w:val="clear" w:color="auto" w:fill="FFFFFF"/>
                                </w:rPr>
                                <w:t xml:space="preserve">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 – minimum 6.5 overall, including a minimum of 6.0 in writing, and a minimum of 5.5 in reading, listening and speaking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TOEFL IBT – overall score of 88, inc min score of 20/30 Writing, 20/30 Reading, 17/30 Listening and 20/30 Speaking.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 also approved the following mapping as equivalent alternatives to IELTS requirements for entry in  to franchised programmes to be delivered at ESOFT in Sri Lanka;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Local GCE O Level English language: Credit, Distinction or Very good pass </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ESOFT English for Academic Purposes modules in reading, writing, listening and speaking: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1"/>
                                <w:gridCol w:w="763"/>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further information, including other acceptable qualifications (such as WAEC and NECO from Nigeria and Ghana, and Indian CBSE) and pre-sessional English courses; see the KU website: </w:t>
                              </w:r>
                            </w:p>
                            <w:p w:rsidRPr="2030048C" w:rsidP="2030048C">
                              <w:pPr>
                                <w:rPr>
                                  <w:rStyle w:val="normaltextrun"/>
                                  <w:rFonts w:ascii="Arial" w:eastAsia="Arial" w:hAnsi="Arial" w:cs="Arial"/>
                                  <w:b w:val="0"/>
                                  <w:bCs w:val="0"/>
                                  <w:color w:val="000000"/>
                                  <w:sz w:val="24"/>
                                  <w:szCs w:val="24"/>
                                  <w:shd w:val="clear" w:color="auto" w:fill="FFFFFF"/>
                                </w:rPr>
                              </w:pPr>
                              <w:hyperlink r:id="rId9" w:history="1">
                                <w:r w:rsidRPr="2030048C">
                                  <w:rPr>
                                    <w:rStyle w:val="normaltextrun"/>
                                    <w:rFonts w:ascii="Arial" w:eastAsia="Arial" w:hAnsi="Arial" w:cs="Arial"/>
                                    <w:b w:val="0"/>
                                    <w:bCs w:val="0"/>
                                    <w:color w:val="0000FF"/>
                                    <w:sz w:val="24"/>
                                    <w:szCs w:val="24"/>
                                    <w:shd w:val="clear" w:color="auto" w:fill="FFFFFF"/>
                                  </w:rPr>
                                  <w:t>http://www.kingston.ac.uk/international/studying-at-kingston/language-requirements/</w:t>
                                </w:r>
                              </w:hyperlink>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cell"/>
        <w:spacing w:before="0" w:after="0"/>
        <w:ind w:left="0" w:right="0"/>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i/>
          <w:iCs/>
          <w:color w:val="000000" w:themeColor="text1"/>
          <w:sz w:val="24"/>
          <w:szCs w:val="24"/>
          <w:shd w:val="clear" w:color="auto" w:fill="FFFFFF"/>
        </w:rPr>
        <w:t>The Aims of the Field are to:</w:t>
      </w:r>
    </w:p>
    <w:p w:rsidRPr="2030048C" w:rsidP="2030048C">
      <w:pPr>
        <w:pStyle w:val="cell"/>
        <w:spacing w:before="0" w:after="0"/>
        <w:ind w:left="0" w:right="0" w:firstLine="1134"/>
        <w:rPr>
          <w:rStyle w:val="normaltextrun"/>
          <w:rFonts w:ascii="Arial" w:eastAsia="Arial" w:hAnsi="Arial" w:cs="Arial"/>
          <w:color w:val="000000" w:themeColor="text1"/>
          <w:sz w:val="24"/>
          <w:szCs w:val="24"/>
          <w:shd w:val="clear" w:color="auto" w:fill="FFFFFF"/>
        </w:rPr>
      </w:pPr>
    </w:p>
    <w:p w:rsidRPr="2030048C" w:rsidP="2030048C">
      <w:pPr>
        <w:pStyle w:val="li"/>
        <w:numPr>
          <w:ilvl w:val="0"/>
          <w:numId w:val="13"/>
        </w:numPr>
        <w:pBdr>
          <w:left w:val="none" w:sz="0" w:space="25" w:color="auto"/>
        </w:pBdr>
        <w:spacing w:before="0" w:after="0"/>
        <w:ind w:left="1418" w:right="0" w:hanging="868"/>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pacing w:val="-3"/>
          <w:sz w:val="24"/>
          <w:szCs w:val="24"/>
          <w:shd w:val="clear" w:color="auto" w:fill="FFFFFF"/>
        </w:rPr>
        <w:t>gain knowledge, skills and a critical appreciation of ICT-enabled strategic innovation</w:t>
      </w:r>
    </w:p>
    <w:p w:rsidRPr="2030048C" w:rsidP="2030048C">
      <w:pPr>
        <w:pStyle w:val="li"/>
        <w:numPr>
          <w:ilvl w:val="0"/>
          <w:numId w:val="13"/>
        </w:numPr>
        <w:pBdr>
          <w:left w:val="none" w:sz="0" w:space="25" w:color="auto"/>
        </w:pBdr>
        <w:spacing w:before="0" w:after="0"/>
        <w:ind w:left="1418" w:right="0" w:hanging="868"/>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pacing w:val="-3"/>
          <w:sz w:val="24"/>
          <w:szCs w:val="24"/>
          <w:shd w:val="clear" w:color="auto" w:fill="FFFFFF"/>
        </w:rPr>
        <w:t>make an informed assessment of commercial, legal, social and environmental implications of technical innovations.</w:t>
      </w:r>
    </w:p>
    <w:p w:rsidRPr="2030048C" w:rsidP="2030048C">
      <w:pPr>
        <w:pStyle w:val="li"/>
        <w:numPr>
          <w:ilvl w:val="0"/>
          <w:numId w:val="13"/>
        </w:numPr>
        <w:pBdr>
          <w:left w:val="none" w:sz="0" w:space="25" w:color="auto"/>
        </w:pBdr>
        <w:spacing w:before="0" w:after="0"/>
        <w:ind w:left="1418" w:right="0" w:hanging="868"/>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pacing w:val="-3"/>
          <w:sz w:val="24"/>
          <w:szCs w:val="24"/>
          <w:shd w:val="clear" w:color="auto" w:fill="FFFFFF"/>
        </w:rPr>
        <w:t>equip students with the professional approach and outlook, and a set of transferable skills that will enable them to develop and exploit their knowledge and technical ability in the furtherance of their career.</w:t>
      </w:r>
    </w:p>
    <w:p w:rsidRPr="2030048C" w:rsidP="2030048C">
      <w:pPr>
        <w:pStyle w:val="li"/>
        <w:numPr>
          <w:ilvl w:val="0"/>
          <w:numId w:val="13"/>
        </w:numPr>
        <w:pBdr>
          <w:left w:val="none" w:sz="0" w:space="24" w:color="auto"/>
        </w:pBdr>
        <w:spacing w:before="0" w:after="0"/>
        <w:ind w:left="1418" w:right="0" w:hanging="859"/>
        <w:jc w:val="both"/>
        <w:rPr>
          <w:rStyle w:val="normaltextrun"/>
          <w:rFonts w:ascii="Times New Roman" w:eastAsia="Times New Roman" w:hAnsi="Times New Roman" w:cs="Times New Roman"/>
          <w:color w:val="000000" w:themeColor="text1"/>
          <w:spacing w:val="-3"/>
          <w:sz w:val="24"/>
          <w:szCs w:val="24"/>
          <w:shd w:val="clear" w:color="auto" w:fill="FFFFFF"/>
        </w:rPr>
      </w:pPr>
      <w:r w:rsidRPr="2030048C">
        <w:rPr>
          <w:rStyle w:val="normaltextrun"/>
          <w:rFonts w:ascii="Times New Roman" w:eastAsia="Times New Roman" w:hAnsi="Times New Roman" w:cs="Times New Roman"/>
          <w:color w:val="000000" w:themeColor="text1"/>
          <w:spacing w:val="-3"/>
          <w:sz w:val="24"/>
          <w:szCs w:val="24"/>
          <w:shd w:val="clear" w:color="auto" w:fill="FFFFFF"/>
        </w:rPr>
        <w:tab/>
      </w:r>
      <w:r w:rsidRPr="2030048C">
        <w:rPr>
          <w:rStyle w:val="normaltextrun"/>
          <w:rFonts w:ascii="Arial" w:eastAsia="Arial" w:hAnsi="Arial" w:cs="Arial"/>
          <w:color w:val="000000" w:themeColor="text1"/>
          <w:spacing w:val="0"/>
          <w:sz w:val="22"/>
          <w:szCs w:val="22"/>
          <w:shd w:val="clear" w:color="auto" w:fill="FFFFFF"/>
        </w:rPr>
        <w:t>Gain a solid foundation in ICT and strategic innovation, but have demonstrated to only a minor extent the achievement of the above-listed main aims. This will be demonstrated by achieving a coherent subset of the learning objectives.</w:t>
      </w:r>
    </w:p>
    <w:p w:rsidRPr="2030048C" w:rsidP="2030048C">
      <w:pPr>
        <w:pStyle w:val="li"/>
        <w:numPr>
          <w:ilvl w:val="0"/>
          <w:numId w:val="14"/>
        </w:numPr>
        <w:pBdr>
          <w:left w:val="none" w:sz="0" w:space="24" w:color="auto"/>
        </w:pBdr>
        <w:spacing w:before="0" w:after="0"/>
        <w:ind w:left="1418" w:right="0" w:hanging="859"/>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gain a solid foundation in this specialist area, building on knowledge and skills gained from students individual backgrounds. </w:t>
      </w:r>
    </w:p>
    <w:p w:rsidRPr="2030048C" w:rsidP="2030048C">
      <w:pPr>
        <w:pStyle w:val="li"/>
        <w:numPr>
          <w:ilvl w:val="0"/>
          <w:numId w:val="14"/>
        </w:numPr>
        <w:pBdr>
          <w:left w:val="none" w:sz="0" w:space="24" w:color="auto"/>
        </w:pBdr>
        <w:spacing w:before="0" w:after="0"/>
        <w:ind w:left="1418" w:right="0" w:hanging="859"/>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have an in-depth understanding of the impact of technological innovation on business and public administration.</w:t>
      </w:r>
    </w:p>
    <w:p w:rsidRPr="2030048C" w:rsidP="2030048C">
      <w:pPr>
        <w:pStyle w:val="li"/>
        <w:numPr>
          <w:ilvl w:val="0"/>
          <w:numId w:val="15"/>
        </w:numPr>
        <w:pBdr>
          <w:left w:val="none" w:sz="0" w:space="24" w:color="auto"/>
        </w:pBdr>
        <w:spacing w:before="0" w:after="0"/>
        <w:ind w:left="1418" w:right="0" w:hanging="859"/>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study a subject area which is relevant to the field but also satisfies the individual's background and experience.</w:t>
      </w:r>
    </w:p>
    <w:p w:rsidRPr="2030048C" w:rsidP="2030048C">
      <w:pPr>
        <w:pStyle w:val="BodyText2"/>
        <w:widowControl/>
        <w:numPr>
          <w:ilvl w:val="0"/>
          <w:numId w:val="15"/>
        </w:numPr>
        <w:pBdr>
          <w:left w:val="none" w:sz="0" w:space="24" w:color="auto"/>
        </w:pBdr>
        <w:spacing w:before="0" w:after="0"/>
        <w:ind w:left="1418" w:right="0" w:hanging="859"/>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 </w:t>
      </w:r>
      <w:r w:rsidRPr="2030048C">
        <w:rPr>
          <w:rStyle w:val="normaltextrun"/>
          <w:rFonts w:ascii="Arial" w:eastAsia="Arial" w:hAnsi="Arial" w:cs="Arial"/>
          <w:color w:val="000000" w:themeColor="text1"/>
          <w:sz w:val="24"/>
          <w:szCs w:val="24"/>
          <w:shd w:val="clear" w:color="auto" w:fill="FFFFFF"/>
        </w:rPr>
        <w:t>Have the ability to apply specialised knowledge and skills to the analysis and solution of novel problems in commerce and the industry.</w:t>
      </w:r>
    </w:p>
    <w:p w:rsidRPr="2030048C" w:rsidP="2030048C">
      <w:pPr>
        <w:pStyle w:val="p0"/>
        <w:spacing w:before="0" w:after="0"/>
        <w:ind w:left="0" w:right="0"/>
        <w:rPr>
          <w:rStyle w:val="normaltextrun"/>
          <w:rFonts w:ascii="Arial" w:eastAsia="Arial" w:hAnsi="Arial" w:cs="Arial"/>
          <w:i/>
          <w:iCs/>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legal, environmental and professional issues in the design and development of an ICT enabled business development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information architectures as appropriate and consider necessary trade-offs between centralised and distributed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assess the quality of information and assess the effectiveness of information management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apply the tools and technologies necessary for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or information systems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design an information architecture to support the business strategy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current developments in technological innovation.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technologists can interact with, and support the business aspirations of entrepreneurs and agile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evaluate and select appropriate business analysis tools and development methodologies for an ICT-enabled business development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practical ability to identify innovative ICT solutions, and to demonstrate how they can support the strategy of entrepreneurial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analytical models and frameworks as vehicles to initiate and sustain conversations between ICT and the business.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to stimulate imaginative approaches to business issues, and to manage technology-enabled innovation.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domain of ICT innovation for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Communications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95"/>
        <w:gridCol w:w="995"/>
        <w:gridCol w:w="99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CI7100E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Entry points in October and January.</w:t>
      </w:r>
    </w:p>
    <w:p w:rsidRPr="2030048C" w:rsidP="2030048C">
      <w:pPr>
        <w:rPr>
          <w:rFonts w:ascii="Arial" w:eastAsia="Arial" w:hAnsi="Arial" w:cs="Arial"/>
          <w:sz w:val="24"/>
          <w:szCs w:val="24"/>
        </w:rPr>
      </w:pPr>
      <w:r w:rsidRPr="2030048C">
        <w:rPr>
          <w:rFonts w:ascii="Arial" w:eastAsia="Arial" w:hAnsi="Arial" w:cs="Arial"/>
          <w:sz w:val="24"/>
          <w:szCs w:val="24"/>
        </w:rPr>
        <w:t>Validated Provision.</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
    <w:name w:val="p"/>
    <w:basedOn w:val="Normal"/>
  </w:style>
  <w:style w:type="paragraph" w:customStyle="1" w:styleId="p0">
    <w:name w:val="p_0"/>
    <w:basedOn w:val="ListParagraph"/>
  </w:style>
  <w:style w:type="paragraph" w:customStyle="1" w:styleId="cell">
    <w:name w:val="cell"/>
    <w:basedOn w:val="ListParagraph"/>
    <w:rPr>
      <w:sz w:val="24"/>
      <w:szCs w:val="24"/>
    </w:rPr>
  </w:style>
  <w:style w:type="paragraph" w:customStyle="1" w:styleId="li">
    <w:name w:val="li"/>
    <w:basedOn w:val="ListParagraph"/>
  </w:style>
  <w:style w:type="paragraph" w:customStyle="1" w:styleId="BodyText2">
    <w:name w:val="BodyText2"/>
    <w:basedOn w:val="ListParagraph"/>
    <w:pPr>
      <w:widowControl w:val="0"/>
      <w:spacing w:line="480" w:lineRule="auto"/>
    </w:pPr>
    <w:rPr>
      <w:sz w:val="24"/>
      <w:szCs w:val="24"/>
    </w:rPr>
  </w:style>
  <w:style w:type="paragraph" w:customStyle="1" w:styleId="ListParagraph0">
    <w:name w:val="ListParagraph"/>
    <w:basedOn w:val="ListParagraph"/>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CD187D-93C7-489F-8B5A-FEF415F1D67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