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IT and Strategic Innovation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IT and Strategic Innovation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IT and Strategic Innovation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IT and Strategic Innovation</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IT and Strategic Innovation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IT and Strategic Innovation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IT and Strategic Innovation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BCS The Chartered Institute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is permitted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The Aims of the Field are to:</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ain knowl</w:t>
      </w:r>
      <w:r w:rsidRPr="2030048C">
        <w:rPr>
          <w:rStyle w:val="normaltextrun"/>
          <w:rFonts w:ascii="Arial" w:hAnsi="Arial" w:cs="Arial"/>
          <w:color w:val="000000" w:themeColor="text1"/>
          <w:sz w:val="24"/>
          <w:szCs w:val="24"/>
          <w:shd w:val="clear" w:color="auto" w:fill="FFFFFF"/>
        </w:rPr>
        <w:t>edge, skills and a critical appreciation of ICT-enabled strategic innovation</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ake an informed assessment of commercial, legal, social and environmental implications of technical innovations</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quip students with the professional approach and outlook</w:t>
      </w:r>
      <w:r w:rsidRPr="2030048C">
        <w:rPr>
          <w:rStyle w:val="normaltextrun"/>
          <w:rFonts w:ascii="Arial" w:hAnsi="Arial" w:cs="Arial"/>
          <w:color w:val="000000" w:themeColor="text1"/>
          <w:sz w:val="24"/>
          <w:szCs w:val="24"/>
          <w:shd w:val="clear" w:color="auto" w:fill="FFFFFF"/>
        </w:rPr>
        <w:t xml:space="preserve">, and a </w:t>
      </w:r>
      <w:r w:rsidRPr="2030048C">
        <w:rPr>
          <w:rStyle w:val="normaltextrun"/>
          <w:rFonts w:ascii="Arial" w:hAnsi="Arial" w:cs="Arial"/>
          <w:color w:val="000000" w:themeColor="text1"/>
          <w:sz w:val="24"/>
          <w:szCs w:val="24"/>
          <w:shd w:val="clear" w:color="auto" w:fill="FFFFFF"/>
        </w:rPr>
        <w:t>set of transferable skills that will enable them to develop and exploit their knowledge and technical ability in the furtherance of their career.</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on the 2 year version an opportunity to develop further skills,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preparing them for higher level</w:t>
      </w:r>
      <w:r w:rsidRPr="2030048C">
        <w:rPr>
          <w:rStyle w:val="normaltextrun"/>
          <w:rFonts w:ascii="Arial" w:hAnsi="Arial" w:cs="Arial"/>
          <w:color w:val="000000" w:themeColor="text1"/>
          <w:sz w:val="24"/>
          <w:szCs w:val="24"/>
          <w:shd w:val="clear" w:color="auto" w:fill="FFFFFF"/>
        </w:rPr>
        <w:t>s of employment</w:t>
      </w:r>
    </w:p>
    <w:p w:rsidRPr="2030048C" w:rsidP="2030048C">
      <w:pPr>
        <w:pStyle w:val="ListParagraph"/>
        <w:ind w:left="709"/>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In addition the PG Certificate will enable the student to:</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2"/>
          <w:szCs w:val="22"/>
          <w:shd w:val="clear" w:color="auto" w:fill="FFFFFF"/>
        </w:rPr>
        <w:t xml:space="preserve">Gain a solid foundation in ICT and strategic innovation, but have demonstrated to only a minor extent the achievement of the above-listed main aims. This will be demonstrated by </w:t>
      </w:r>
      <w:r w:rsidRPr="2030048C">
        <w:rPr>
          <w:rStyle w:val="normaltextrun"/>
          <w:rFonts w:ascii="Arial" w:hAnsi="Arial" w:cs="Arial"/>
          <w:color w:val="000000" w:themeColor="text1"/>
          <w:sz w:val="22"/>
          <w:szCs w:val="22"/>
          <w:shd w:val="clear" w:color="auto" w:fill="FFFFFF"/>
        </w:rPr>
        <w:t>achieving a coherent subset of the learning objectives.</w:t>
      </w:r>
    </w:p>
    <w:p w:rsidRPr="2030048C" w:rsidP="2030048C">
      <w:pPr>
        <w:pStyle w:val="ListParagraph"/>
        <w:ind w:left="709"/>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In addition the PG Diploma will enable the students to:</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 xml:space="preserve">ain a solid foundation in this specialist area, building on knowledge and skills gained from students individual backgrounds. </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ave an in-dept</w:t>
      </w:r>
      <w:r w:rsidRPr="2030048C">
        <w:rPr>
          <w:rStyle w:val="normaltextrun"/>
          <w:rFonts w:ascii="Arial" w:hAnsi="Arial" w:cs="Arial"/>
          <w:color w:val="000000" w:themeColor="text1"/>
          <w:sz w:val="24"/>
          <w:szCs w:val="24"/>
          <w:shd w:val="clear" w:color="auto" w:fill="FFFFFF"/>
        </w:rPr>
        <w:t xml:space="preserve">h understanding of the </w:t>
      </w:r>
      <w:r w:rsidRPr="2030048C">
        <w:rPr>
          <w:rStyle w:val="normaltextrun"/>
          <w:rFonts w:ascii="Arial" w:hAnsi="Arial" w:cs="Arial"/>
          <w:color w:val="000000" w:themeColor="text1"/>
          <w:sz w:val="24"/>
          <w:szCs w:val="24"/>
          <w:shd w:val="clear" w:color="auto" w:fill="FFFFFF"/>
        </w:rPr>
        <w:t xml:space="preserve">impact of technological innovation on business and public </w:t>
      </w:r>
      <w:r w:rsidRPr="2030048C">
        <w:rPr>
          <w:rStyle w:val="normaltextrun"/>
          <w:rFonts w:ascii="Arial" w:hAnsi="Arial" w:cs="Arial"/>
          <w:color w:val="000000" w:themeColor="text1"/>
          <w:sz w:val="24"/>
          <w:szCs w:val="24"/>
          <w:shd w:val="clear" w:color="auto" w:fill="FFFFFF"/>
        </w:rPr>
        <w:t>administration</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5"/>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study a subject area which is relevant to the field but also satisfies the individual's background and experience.</w:t>
      </w:r>
    </w:p>
    <w:p w:rsidRPr="2030048C" w:rsidP="2030048C">
      <w:pPr>
        <w:pStyle w:val="BodyText2"/>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In addition the MSc will enable the student</w:t>
      </w:r>
      <w:r w:rsidRPr="2030048C">
        <w:rPr>
          <w:rStyle w:val="normaltextrun"/>
          <w:rFonts w:ascii="Arial" w:hAnsi="Arial" w:cs="Arial"/>
          <w:i/>
          <w:iCs/>
          <w:color w:val="000000" w:themeColor="text1"/>
          <w:sz w:val="24"/>
          <w:szCs w:val="24"/>
          <w:shd w:val="clear" w:color="auto" w:fill="FFFFFF"/>
        </w:rPr>
        <w:t>s to:</w:t>
      </w:r>
    </w:p>
    <w:p w:rsidRPr="2030048C" w:rsidP="2030048C">
      <w:pPr>
        <w:pStyle w:val="ListParagraph"/>
        <w:numPr>
          <w:ilvl w:val="0"/>
          <w:numId w:val="16"/>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ability to apply specialised knowledge and skills to the analysis and solution of novel problems in commerce and the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current developments in</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technological innovation.</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 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effectively a wide range of methods, tools and techniques used to stimulate imaginative approaches to business issues, and to manage technology-enabled innovation.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practical ability to identify innovative ICT solutions, and to demonstrate how they can</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supportive the strategy of entrepreneurial</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organisations.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technologists can interact with, and support the business aspirations of entrepreneurs and agile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analytical models and frameworks as vehicles to initiate and sustain conversations between ICT and the business.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ability to apply the tools and technologies necessary for application design and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evaluate and select appropriate business analysis tools and development methodologies for an ICT-enabled business development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ethical, legal, environmental and professional issues in the design and development of an ICT enabled business development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in the domain of ICT innovation for business.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To design an information architecture to support the business strategy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 Build upon the experience and responsibility gained as a result of the practical application of the skills acquired during the course to make a significant contribution as a computing or information systems professional within an organisation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assess the quality of information and assess the effectiveness of the information management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Specify and design information architectures as appropriate and consider necessary trade-offs between centralised and distributed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r w:rsidRPr="2030048C">
        <w:rPr>
          <w:rFonts w:ascii="Arial" w:eastAsia="Arial" w:hAnsi="Arial" w:cs="Arial"/>
          <w:color w:val="000000" w:themeColor="text1" w:themeShade="FF" w:themeTint="FF"/>
          <w:sz w:val="24"/>
          <w:szCs w:val="24"/>
        </w:rPr>
        <w:t>This course is part of the University’s Postgraduate Regulations (PR).  Courses in the PR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w:t>
      </w:r>
      <w:r w:rsidRPr="2030048C">
        <w:rPr>
          <w:rFonts w:ascii="Arial" w:eastAsia="Arial" w:hAnsi="Arial" w:cs="Arial"/>
          <w:color w:val="000000" w:themeColor="text1" w:themeShade="FF" w:themeTint="FF"/>
          <w:sz w:val="24"/>
          <w:szCs w:val="24"/>
        </w:rPr>
        <w:t>he course offers the PG Certificate as an exit award only and is based on the student passing any coherent subset of the taught modules.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awards available are detailed in Section A and the requirements are outlined below.</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All students will be provided </w:t>
      </w:r>
      <w:r w:rsidRPr="2030048C">
        <w:rPr>
          <w:rFonts w:ascii="Arial" w:eastAsia="Arial" w:hAnsi="Arial" w:cs="Arial"/>
          <w:color w:val="000000" w:themeColor="text1" w:themeShade="FF" w:themeTint="FF"/>
          <w:sz w:val="24"/>
          <w:szCs w:val="24"/>
        </w:rPr>
        <w:t>with the P</w:t>
      </w:r>
      <w:r w:rsidRPr="2030048C">
        <w:rPr>
          <w:rFonts w:ascii="Arial" w:eastAsia="Arial" w:hAnsi="Arial" w:cs="Arial"/>
          <w:color w:val="000000" w:themeColor="text1" w:themeShade="FF" w:themeTint="FF"/>
          <w:sz w:val="24"/>
          <w:szCs w:val="24"/>
        </w:rPr>
        <w:t>R</w:t>
      </w:r>
      <w:r w:rsidRPr="2030048C">
        <w:rPr>
          <w:rFonts w:ascii="Arial" w:eastAsia="Arial" w:hAnsi="Arial" w:cs="Arial"/>
          <w:color w:val="000000" w:themeColor="text1" w:themeShade="FF" w:themeTint="FF"/>
          <w:sz w:val="24"/>
          <w:szCs w:val="24"/>
        </w:rPr>
        <w:t xml:space="preserve"> regulations in the student handbook.</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Courses are offered as 1 year full-time, and normally 2-3 years part-time. The modules are offered as two </w:t>
      </w:r>
      <w:r w:rsidRPr="2030048C">
        <w:rPr>
          <w:rFonts w:ascii="Arial" w:eastAsia="Arial" w:hAnsi="Arial" w:cs="Arial"/>
          <w:color w:val="000000" w:themeColor="text1" w:themeShade="FF" w:themeTint="FF"/>
          <w:sz w:val="24"/>
          <w:szCs w:val="24"/>
        </w:rPr>
        <w:t>1-</w:t>
      </w:r>
      <w:r w:rsidRPr="2030048C">
        <w:rPr>
          <w:rFonts w:ascii="Arial" w:eastAsia="Arial" w:hAnsi="Arial" w:cs="Arial"/>
          <w:color w:val="000000" w:themeColor="text1" w:themeShade="FF" w:themeTint="FF"/>
          <w:sz w:val="24"/>
          <w:szCs w:val="24"/>
        </w:rPr>
        <w:t>week blocks</w:t>
      </w:r>
      <w:r w:rsidRPr="2030048C">
        <w:rPr>
          <w:rFonts w:ascii="Arial" w:eastAsia="Arial" w:hAnsi="Arial" w:cs="Arial"/>
          <w:color w:val="000000" w:themeColor="text1" w:themeShade="FF" w:themeTint="FF"/>
          <w:sz w:val="24"/>
          <w:szCs w:val="24"/>
        </w:rPr>
        <w:t xml:space="preserve"> several weeks apart</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full MSc course consists of an induction programme, 4 mo</w:t>
      </w:r>
      <w:r w:rsidRPr="2030048C">
        <w:rPr>
          <w:rFonts w:ascii="Arial" w:eastAsia="Arial" w:hAnsi="Arial" w:cs="Arial"/>
          <w:color w:val="000000" w:themeColor="text1" w:themeShade="FF" w:themeTint="FF"/>
          <w:sz w:val="24"/>
          <w:szCs w:val="24"/>
        </w:rPr>
        <w:t>dules, and the project.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Full-time students will complete the programme of study and assessment in 52 weeks.  </w:t>
      </w:r>
      <w:r w:rsidRPr="2030048C">
        <w:rPr>
          <w:rFonts w:ascii="Arial" w:eastAsia="Arial" w:hAnsi="Arial" w:cs="Arial"/>
          <w:color w:val="000000" w:themeColor="text1" w:themeShade="FF" w:themeTint="FF"/>
          <w:sz w:val="24"/>
          <w:szCs w:val="24"/>
        </w:rPr>
        <w:t xml:space="preserve">The normal study pattern for part-time students is that they should complete 4 modules over a two to three year period and complete their project </w:t>
      </w:r>
      <w:r w:rsidRPr="2030048C">
        <w:rPr>
          <w:rFonts w:ascii="Arial" w:eastAsia="Arial" w:hAnsi="Arial" w:cs="Arial"/>
          <w:color w:val="000000" w:themeColor="text1" w:themeShade="FF" w:themeTint="FF"/>
          <w:sz w:val="24"/>
          <w:szCs w:val="24"/>
        </w:rPr>
        <w:t>within the same period.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Because of the structure of the course, part-time students may be able to commence the course at different times during the academic year after discussion with the Course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Leader</w:t>
      </w:r>
      <w:r w:rsidRPr="2030048C">
        <w:rPr>
          <w:rFonts w:ascii="Arial" w:eastAsia="Arial" w:hAnsi="Arial" w:cs="Arial"/>
          <w:color w:val="000000" w:themeColor="text1" w:themeShade="FF" w:themeTint="FF"/>
          <w:sz w:val="24"/>
          <w:szCs w:val="24"/>
        </w:rPr>
        <w:t xml:space="preserve"> of relevant issues, including the need for specific p</w:t>
      </w:r>
      <w:r w:rsidRPr="2030048C">
        <w:rPr>
          <w:rFonts w:ascii="Arial" w:eastAsia="Arial" w:hAnsi="Arial" w:cs="Arial"/>
          <w:color w:val="000000" w:themeColor="text1" w:themeShade="FF" w:themeTint="FF"/>
          <w:sz w:val="24"/>
          <w:szCs w:val="24"/>
        </w:rPr>
        <w:t>reparatory study.</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Normally, each module will include approximately 60 hours contact time, followed by directed learning resulting in a total of 300 hours of student effort.  </w:t>
      </w:r>
      <w:r w:rsidRPr="2030048C">
        <w:rPr>
          <w:rFonts w:ascii="Arial" w:eastAsia="Arial" w:hAnsi="Arial" w:cs="Arial"/>
          <w:color w:val="000000" w:themeColor="text1" w:themeShade="FF" w:themeTint="FF"/>
          <w:sz w:val="24"/>
          <w:szCs w:val="24"/>
        </w:rPr>
        <w:t>The project is the equivalent of two modules and requires 600 hours of student eff</w:t>
      </w:r>
      <w:r w:rsidRPr="2030048C">
        <w:rPr>
          <w:rFonts w:ascii="Arial" w:eastAsia="Arial" w:hAnsi="Arial" w:cs="Arial"/>
          <w:color w:val="000000" w:themeColor="text1" w:themeShade="FF" w:themeTint="FF"/>
          <w:sz w:val="24"/>
          <w:szCs w:val="24"/>
        </w:rPr>
        <w:t>ort.</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 Planning meetings will take place at the beginning of each teaching block to ensure there is no assessment overloading or bunching.</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The course design fully considers all student groups.  </w:t>
      </w:r>
      <w:r w:rsidRPr="2030048C">
        <w:rPr>
          <w:rFonts w:ascii="Arial" w:eastAsia="Arial" w:hAnsi="Arial" w:cs="Arial"/>
          <w:color w:val="000000" w:themeColor="text1" w:themeShade="FF" w:themeTint="FF"/>
          <w:sz w:val="24"/>
          <w:szCs w:val="24"/>
        </w:rPr>
        <w:t>Delivery in 1-week blocks separated by several week</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 xml:space="preserve"> enables p</w:t>
      </w:r>
      <w:r w:rsidRPr="2030048C">
        <w:rPr>
          <w:rFonts w:ascii="Arial" w:eastAsia="Arial" w:hAnsi="Arial" w:cs="Arial"/>
          <w:color w:val="000000" w:themeColor="text1" w:themeShade="FF" w:themeTint="FF"/>
          <w:sz w:val="24"/>
          <w:szCs w:val="24"/>
        </w:rPr>
        <w:t>art-time students to study whilst also meeting their other commitments.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Overseas students are also able to complete their degree within </w:t>
      </w:r>
      <w:r w:rsidRPr="2030048C">
        <w:rPr>
          <w:rFonts w:ascii="Arial" w:eastAsia="Arial" w:hAnsi="Arial" w:cs="Arial"/>
          <w:color w:val="000000" w:themeColor="text1" w:themeShade="FF" w:themeTint="FF"/>
          <w:sz w:val="24"/>
          <w:szCs w:val="24"/>
        </w:rPr>
        <w:t>visa</w:t>
      </w:r>
      <w:r w:rsidRPr="2030048C">
        <w:rPr>
          <w:rFonts w:ascii="Arial" w:eastAsia="Arial" w:hAnsi="Arial" w:cs="Arial"/>
          <w:color w:val="000000" w:themeColor="text1" w:themeShade="FF" w:themeTint="FF"/>
          <w:sz w:val="24"/>
          <w:szCs w:val="24"/>
        </w:rPr>
        <w:t xml:space="preserve"> limitations.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 January intake is accommodated by ensuring that two, technical core modules are delivered in the Sp</w:t>
      </w:r>
      <w:r w:rsidRPr="2030048C">
        <w:rPr>
          <w:rFonts w:ascii="Arial" w:eastAsia="Arial" w:hAnsi="Arial" w:cs="Arial"/>
          <w:color w:val="000000" w:themeColor="text1" w:themeShade="FF" w:themeTint="FF"/>
          <w:sz w:val="24"/>
          <w:szCs w:val="24"/>
        </w:rPr>
        <w:t>ring semester, and that option modules and the Business in Practice module is delivered in the Autumn semester.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ensures that all students, including January starters can complete the individual project in the summer without disadvantage.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address a</w:t>
      </w:r>
      <w:r w:rsidRPr="2030048C">
        <w:rPr>
          <w:rFonts w:ascii="Arial" w:eastAsia="Arial" w:hAnsi="Arial" w:cs="Arial"/>
          <w:color w:val="000000" w:themeColor="text1" w:themeShade="FF" w:themeTint="FF"/>
          <w:sz w:val="24"/>
          <w:szCs w:val="24"/>
        </w:rPr>
        <w:t xml:space="preserve">dvanced ethics and professional issues, these issues are addressed within the context of technical core modules taken before the project is conducted, specifically, within </w:t>
      </w:r>
      <w:r w:rsidRPr="2030048C">
        <w:rPr>
          <w:rFonts w:ascii="Arial" w:eastAsia="Arial" w:hAnsi="Arial" w:cs="Arial"/>
          <w:color w:val="000000" w:themeColor="text1" w:themeShade="FF" w:themeTint="FF"/>
          <w:sz w:val="24"/>
          <w:szCs w:val="24"/>
        </w:rPr>
        <w:t>Modelling Enterprise Architectures</w:t>
      </w:r>
      <w:r w:rsidRPr="2030048C">
        <w:rPr>
          <w:rFonts w:ascii="Arial" w:eastAsia="Arial" w:hAnsi="Arial" w:cs="Arial"/>
          <w:color w:val="000000" w:themeColor="text1" w:themeShade="FF" w:themeTint="FF"/>
          <w:sz w:val="24"/>
          <w:szCs w:val="24"/>
        </w:rPr>
        <w:t>, and the Individual Project.The programme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is made up of four modules each worth 30 credit points</w:t>
      </w:r>
      <w:r w:rsidRPr="2030048C">
        <w:rPr>
          <w:rFonts w:ascii="Arial" w:eastAsia="Arial" w:hAnsi="Arial" w:cs="Arial"/>
          <w:color w:val="000000" w:themeColor="text1" w:themeShade="FF" w:themeTint="FF"/>
          <w:sz w:val="24"/>
          <w:szCs w:val="24"/>
        </w:rPr>
        <w:t xml:space="preserve"> plus a capstone project worth </w:t>
      </w:r>
      <w:r w:rsidRPr="2030048C">
        <w:rPr>
          <w:rFonts w:ascii="Arial" w:eastAsia="Arial" w:hAnsi="Arial" w:cs="Arial"/>
          <w:color w:val="000000" w:themeColor="text1" w:themeShade="FF" w:themeTint="FF"/>
          <w:sz w:val="24"/>
          <w:szCs w:val="24"/>
        </w:rPr>
        <w:t>60 points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w:t>
      </w:r>
      <w:r w:rsidRPr="2030048C">
        <w:rPr>
          <w:rFonts w:ascii="Arial" w:eastAsia="Arial" w:hAnsi="Arial" w:cs="Arial"/>
          <w:color w:val="000000" w:themeColor="text1" w:themeShade="FF" w:themeTint="FF"/>
          <w:sz w:val="24"/>
          <w:szCs w:val="24"/>
        </w:rPr>
        <w:t xml:space="preserve"> for accreditation by outside bodies (e.g. professional or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r w:rsidRPr="2030048C">
        <w:rPr>
          <w:rFonts w:ascii="Arial" w:eastAsia="Arial" w:hAnsi="Arial" w:cs="Arial"/>
          <w:color w:val="000000" w:themeColor="text1" w:themeShade="FF" w:themeTint="FF"/>
          <w:sz w:val="24"/>
          <w:szCs w:val="24"/>
        </w:rPr>
        <w:t>Students starting the course in September will work on the placement for between 10 – 12 months, starting from June, before their dissertation. Those students must confirm their placement before 15 May. Students on courses with January intake will work on the placement for between 10 – 12 months,</w:t>
      </w:r>
      <w:r w:rsidRPr="2030048C">
        <w:rPr>
          <w:rFonts w:ascii="Arial" w:eastAsia="Arial" w:hAnsi="Arial" w:cs="Arial"/>
          <w:color w:val="000000" w:themeColor="text1" w:themeShade="FF" w:themeTint="FF"/>
          <w:sz w:val="24"/>
          <w:szCs w:val="24"/>
        </w:rPr>
        <w:t xml:space="preserve"> starting from February, after completing their dissertation. Students on this intake must confirm their placement before 20 December. In either case, the suitability of the placement requires approval of the Course Leader.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Students on placement must complete a portfolio assessment which includes a reflection on how the theories they have learnt during their teaching year have helped them in their placement and demonstrate ability to apply their teaching in a real world situation</w:t>
      </w:r>
      <w:r w:rsidRPr="2030048C">
        <w:rPr>
          <w:rFonts w:ascii="Arial" w:eastAsia="Arial" w:hAnsi="Arial" w:cs="Arial"/>
          <w:color w:val="000000" w:themeColor="text1" w:themeShade="FF" w:themeTint="FF"/>
          <w:sz w:val="24"/>
          <w:szCs w:val="24"/>
        </w:rPr>
        <w:t>.</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IT and Strategic Innovation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IT and Strategic Innovation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Data Management and Governance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e-Business Strategy and Implementation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IT and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Modelling Enterprise Architectures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IT and Strategic Innovation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xml:space="preserve">The Course is designed to give students a balance of theoretical and practical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is designed according to the KU Curriculum Design Principles and it u</w:t>
      </w:r>
      <w:r w:rsidRPr="2030048C">
        <w:rPr>
          <w:rFonts w:ascii="Arial" w:eastAsia="Arial" w:hAnsi="Arial" w:cs="Arial"/>
          <w:sz w:val="24"/>
          <w:szCs w:val="24"/>
        </w:rPr>
        <w:t>tilises a wide range of teaching and learning methods to enable all students to be actively engaged throughout the c</w:t>
      </w:r>
      <w:r w:rsidRPr="2030048C">
        <w:rPr>
          <w:rFonts w:ascii="Arial" w:eastAsia="Arial" w:hAnsi="Arial" w:cs="Arial"/>
          <w:sz w:val="24"/>
          <w:szCs w:val="24"/>
        </w:rPr>
        <w:t>ourse.</w:t>
      </w:r>
      <w:r w:rsidRPr="2030048C">
        <w:rPr>
          <w:rFonts w:ascii="Arial" w:eastAsia="Arial" w:hAnsi="Arial" w:cs="Arial"/>
          <w:sz w:val="24"/>
          <w:szCs w:val="24"/>
        </w:rPr>
        <w:t xml:space="preserve">  </w:t>
      </w:r>
      <w:r w:rsidRPr="2030048C">
        <w:rPr>
          <w:rFonts w:ascii="Arial" w:eastAsia="Arial" w:hAnsi="Arial" w:cs="Arial"/>
          <w:sz w:val="24"/>
          <w:szCs w:val="24"/>
        </w:rPr>
        <w:t>The learning, teaching and assessment strategies reflect the programme aims and learning outcomes, student background, potential emp</w:t>
      </w:r>
      <w:r w:rsidRPr="2030048C">
        <w:rPr>
          <w:rFonts w:ascii="Arial" w:eastAsia="Arial" w:hAnsi="Arial" w:cs="Arial"/>
          <w:sz w:val="24"/>
          <w:szCs w:val="24"/>
        </w:rPr>
        <w:t>loyer requirements, and the need to develop a broad range of technical skills with the abilit</w:t>
      </w:r>
      <w:r w:rsidRPr="2030048C">
        <w:rPr>
          <w:rFonts w:ascii="Arial" w:eastAsia="Arial" w:hAnsi="Arial" w:cs="Arial"/>
          <w:sz w:val="24"/>
          <w:szCs w:val="24"/>
        </w:rPr>
        <w:t>y to apply them appropr</w:t>
      </w:r>
      <w:r w:rsidRPr="2030048C">
        <w:rPr>
          <w:rFonts w:ascii="Arial" w:eastAsia="Arial" w:hAnsi="Arial" w:cs="Arial"/>
          <w:sz w:val="24"/>
          <w:szCs w:val="24"/>
        </w:rPr>
        <w:t xml:space="preserve">iately. </w:t>
      </w:r>
    </w:p>
    <w:p w:rsidRPr="2030048C" w:rsidP="2030048C">
      <w:pPr>
        <w:jc w:val="both"/>
        <w:rPr>
          <w:rFonts w:ascii="Arial" w:eastAsia="Arial" w:hAnsi="Arial" w:cs="Arial"/>
          <w:sz w:val="24"/>
          <w:szCs w:val="24"/>
        </w:rPr>
      </w:pPr>
      <w:r w:rsidRPr="2030048C">
        <w:rPr>
          <w:rFonts w:ascii="Arial" w:eastAsia="Arial" w:hAnsi="Arial" w:cs="Arial"/>
          <w:sz w:val="24"/>
          <w:szCs w:val="24"/>
        </w:rPr>
        <w:t>Formal lectures are used in order to give the students a good background understanding in the area and to develop the theoretical a</w:t>
      </w:r>
      <w:r w:rsidRPr="2030048C">
        <w:rPr>
          <w:rFonts w:ascii="Arial" w:eastAsia="Arial" w:hAnsi="Arial" w:cs="Arial"/>
          <w:sz w:val="24"/>
          <w:szCs w:val="24"/>
        </w:rPr>
        <w:t xml:space="preserve">spects. These are then often reinforced by practical sessions and/or industry specialists who contribute throughout </w:t>
      </w:r>
      <w:r w:rsidRPr="2030048C">
        <w:rPr>
          <w:rFonts w:ascii="Arial" w:eastAsia="Arial" w:hAnsi="Arial" w:cs="Arial"/>
          <w:sz w:val="24"/>
          <w:szCs w:val="24"/>
        </w:rPr>
        <w:t>the course in order to give informative insight into industry developments.</w:t>
      </w:r>
    </w:p>
    <w:p w:rsidRPr="2030048C" w:rsidP="2030048C">
      <w:pPr>
        <w:jc w:val="both"/>
        <w:rPr>
          <w:rFonts w:ascii="Arial" w:eastAsia="Arial" w:hAnsi="Arial" w:cs="Arial"/>
          <w:sz w:val="24"/>
          <w:szCs w:val="24"/>
        </w:rPr>
      </w:pPr>
      <w:r w:rsidRPr="2030048C">
        <w:rPr>
          <w:rFonts w:ascii="Arial" w:eastAsia="Arial" w:hAnsi="Arial" w:cs="Arial"/>
          <w:sz w:val="24"/>
          <w:szCs w:val="24"/>
        </w:rPr>
        <w:t>The practical workshops, open forums, newswires (e.g. CBDiForum,</w:t>
      </w:r>
      <w:r w:rsidRPr="2030048C">
        <w:rPr>
          <w:rFonts w:ascii="Arial" w:eastAsia="Arial" w:hAnsi="Arial" w:cs="Arial"/>
          <w:sz w:val="24"/>
          <w:szCs w:val="24"/>
        </w:rPr>
        <w:t xml:space="preserve"> earthweb, ebiz) and group presentations are introduced into the modules to provide students with a detailed underst</w:t>
      </w:r>
      <w:r w:rsidRPr="2030048C">
        <w:rPr>
          <w:rFonts w:ascii="Arial" w:eastAsia="Arial" w:hAnsi="Arial" w:cs="Arial"/>
          <w:sz w:val="24"/>
          <w:szCs w:val="24"/>
        </w:rPr>
        <w:t xml:space="preserve">anding of the approaches taken in industry. </w:t>
      </w:r>
      <w:r w:rsidRPr="2030048C">
        <w:rPr>
          <w:rFonts w:ascii="Arial" w:eastAsia="Arial" w:hAnsi="Arial" w:cs="Arial"/>
          <w:sz w:val="24"/>
          <w:szCs w:val="24"/>
        </w:rPr>
        <w:t>The students are often given an opportunity to work with a client organisation on their coursewo</w:t>
      </w:r>
      <w:r w:rsidRPr="2030048C">
        <w:rPr>
          <w:rFonts w:ascii="Arial" w:eastAsia="Arial" w:hAnsi="Arial" w:cs="Arial"/>
          <w:sz w:val="24"/>
          <w:szCs w:val="24"/>
        </w:rPr>
        <w:t>rk thus enabling them to experience a real-life work environment and enhancing their employability.</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ensur</w:t>
      </w:r>
      <w:r w:rsidRPr="2030048C">
        <w:rPr>
          <w:rFonts w:ascii="Arial" w:eastAsia="Arial" w:hAnsi="Arial" w:cs="Arial"/>
          <w:sz w:val="24"/>
          <w:szCs w:val="24"/>
        </w:rPr>
        <w:t xml:space="preserve">es that the students are exposed to team working through group presentations, joint report writing, joint research and lab work. </w:t>
      </w:r>
      <w:r w:rsidRPr="2030048C">
        <w:rPr>
          <w:rFonts w:ascii="Arial" w:eastAsia="Arial" w:hAnsi="Arial" w:cs="Arial"/>
          <w:sz w:val="24"/>
          <w:szCs w:val="24"/>
        </w:rPr>
        <w:t>The student</w:t>
      </w:r>
      <w:r w:rsidRPr="2030048C">
        <w:rPr>
          <w:rFonts w:ascii="Arial" w:eastAsia="Arial" w:hAnsi="Arial" w:cs="Arial"/>
          <w:sz w:val="24"/>
          <w:szCs w:val="24"/>
        </w:rPr>
        <w:t>s develop presentation and communication skills through these activities as well as practise analytical thinking, fo</w:t>
      </w:r>
      <w:r w:rsidRPr="2030048C">
        <w:rPr>
          <w:rFonts w:ascii="Arial" w:eastAsia="Arial" w:hAnsi="Arial" w:cs="Arial"/>
          <w:sz w:val="24"/>
          <w:szCs w:val="24"/>
        </w:rPr>
        <w:t xml:space="preserve">cused literature reviewing and academic essay writing, as part of their coursework portfolio. In this way, they also improve their </w:t>
      </w:r>
      <w:r w:rsidRPr="2030048C">
        <w:rPr>
          <w:rFonts w:ascii="Arial" w:eastAsia="Arial" w:hAnsi="Arial" w:cs="Arial"/>
          <w:sz w:val="24"/>
          <w:szCs w:val="24"/>
        </w:rPr>
        <w:t xml:space="preserve">research </w:t>
      </w:r>
      <w:r w:rsidRPr="2030048C">
        <w:rPr>
          <w:rFonts w:ascii="Arial" w:eastAsia="Arial" w:hAnsi="Arial" w:cs="Arial"/>
          <w:sz w:val="24"/>
          <w:szCs w:val="24"/>
        </w:rPr>
        <w:t>and evaluation skills.</w:t>
      </w:r>
    </w:p>
    <w:p w:rsidRPr="2030048C" w:rsidP="2030048C">
      <w:pPr>
        <w:jc w:val="both"/>
        <w:rPr>
          <w:rFonts w:ascii="Arial" w:eastAsia="Arial" w:hAnsi="Arial" w:cs="Arial"/>
          <w:sz w:val="24"/>
          <w:szCs w:val="24"/>
        </w:rPr>
      </w:pPr>
      <w:r w:rsidRPr="2030048C">
        <w:rPr>
          <w:rFonts w:ascii="Arial" w:eastAsia="Arial" w:hAnsi="Arial" w:cs="Arial"/>
          <w:sz w:val="24"/>
          <w:szCs w:val="24"/>
        </w:rPr>
        <w:t>The student is required to further explore and exploit the information given in the mo</w:t>
      </w:r>
      <w:r w:rsidRPr="2030048C">
        <w:rPr>
          <w:rFonts w:ascii="Arial" w:eastAsia="Arial" w:hAnsi="Arial" w:cs="Arial"/>
          <w:sz w:val="24"/>
          <w:szCs w:val="24"/>
        </w:rPr>
        <w:t>dules t</w:t>
      </w:r>
      <w:r w:rsidRPr="2030048C">
        <w:rPr>
          <w:rFonts w:ascii="Arial" w:eastAsia="Arial" w:hAnsi="Arial" w:cs="Arial"/>
          <w:sz w:val="24"/>
          <w:szCs w:val="24"/>
        </w:rPr>
        <w:t xml:space="preserve">hrough guided self study. </w:t>
      </w:r>
    </w:p>
    <w:p w:rsidRPr="2030048C" w:rsidP="2030048C">
      <w:pPr>
        <w:jc w:val="both"/>
        <w:rPr>
          <w:rFonts w:ascii="Arial" w:eastAsia="Arial" w:hAnsi="Arial" w:cs="Arial"/>
          <w:sz w:val="24"/>
          <w:szCs w:val="24"/>
        </w:rPr>
      </w:pPr>
      <w:r w:rsidRPr="2030048C">
        <w:rPr>
          <w:rFonts w:ascii="Arial" w:eastAsia="Arial" w:hAnsi="Arial" w:cs="Arial"/>
          <w:sz w:val="24"/>
          <w:szCs w:val="24"/>
        </w:rPr>
        <w:t>Students will be given close guidance to select a project that is relevant to their background and specialisation</w:t>
      </w:r>
      <w:r w:rsidRPr="2030048C">
        <w:rPr>
          <w:rFonts w:ascii="Arial" w:eastAsia="Arial" w:hAnsi="Arial" w:cs="Arial"/>
          <w:sz w:val="24"/>
          <w:szCs w:val="24"/>
        </w:rPr>
        <w:t xml:space="preserve">. During the project, the student will be expected to apply the knowledge </w:t>
      </w:r>
      <w:r w:rsidRPr="2030048C">
        <w:rPr>
          <w:rFonts w:ascii="Arial" w:eastAsia="Arial" w:hAnsi="Arial" w:cs="Arial"/>
          <w:sz w:val="24"/>
          <w:szCs w:val="24"/>
        </w:rPr>
        <w:t>acquired</w:t>
      </w:r>
      <w:r w:rsidRPr="2030048C">
        <w:rPr>
          <w:rFonts w:ascii="Arial" w:eastAsia="Arial" w:hAnsi="Arial" w:cs="Arial"/>
          <w:sz w:val="24"/>
          <w:szCs w:val="24"/>
        </w:rPr>
        <w:t xml:space="preserve"> during the course. Key skills in </w:t>
      </w:r>
      <w:r w:rsidRPr="2030048C">
        <w:rPr>
          <w:rFonts w:ascii="Arial" w:eastAsia="Arial" w:hAnsi="Arial" w:cs="Arial"/>
          <w:sz w:val="24"/>
          <w:szCs w:val="24"/>
        </w:rPr>
        <w:t>communication, presentation, literature search, problem analysis, project planning, report writing and solution justification are all part o</w:t>
      </w:r>
      <w:r w:rsidRPr="2030048C">
        <w:rPr>
          <w:rFonts w:ascii="Arial" w:eastAsia="Arial" w:hAnsi="Arial" w:cs="Arial"/>
          <w:sz w:val="24"/>
          <w:szCs w:val="24"/>
        </w:rPr>
        <w:t>f the learning outcomes defined in this course.</w:t>
      </w:r>
    </w:p>
    <w:p w:rsidRPr="2030048C" w:rsidP="2030048C">
      <w:pPr>
        <w:rPr>
          <w:rFonts w:ascii="Arial" w:eastAsia="Arial" w:hAnsi="Arial" w:cs="Arial"/>
          <w:sz w:val="24"/>
          <w:szCs w:val="24"/>
        </w:rPr>
      </w:pPr>
      <w:r w:rsidRPr="2030048C">
        <w:rPr>
          <w:rFonts w:ascii="Arial" w:eastAsia="Arial" w:hAnsi="Arial" w:cs="Arial"/>
          <w:b/>
          <w:bCs/>
          <w:sz w:val="24"/>
          <w:szCs w:val="24"/>
        </w:rPr>
        <w:t>Contact Time</w:t>
      </w:r>
    </w:p>
    <w:p w:rsidRPr="2030048C" w:rsidP="2030048C">
      <w:pPr>
        <w:rPr>
          <w:rFonts w:ascii="Arial" w:eastAsia="Arial" w:hAnsi="Arial" w:cs="Arial"/>
          <w:sz w:val="24"/>
          <w:szCs w:val="24"/>
        </w:rPr>
      </w:pPr>
      <w:r w:rsidRPr="2030048C">
        <w:rPr>
          <w:rFonts w:ascii="Arial" w:eastAsia="Arial" w:hAnsi="Arial" w:cs="Arial"/>
          <w:sz w:val="24"/>
          <w:szCs w:val="24"/>
        </w:rPr>
        <w:t>The programme consists of modules in which the learning</w:t>
      </w:r>
      <w:r w:rsidRPr="2030048C">
        <w:rPr>
          <w:rFonts w:ascii="Arial" w:eastAsia="Arial" w:hAnsi="Arial" w:cs="Arial"/>
          <w:sz w:val="24"/>
          <w:szCs w:val="24"/>
        </w:rPr>
        <w:t xml:space="preserve"> outcomes are achieved through a combination of scheduled tutor lead activities and practice. Scheduled contact time with students given wit</w:t>
      </w:r>
      <w:r w:rsidRPr="2030048C">
        <w:rPr>
          <w:rFonts w:ascii="Arial" w:eastAsia="Arial" w:hAnsi="Arial" w:cs="Arial"/>
          <w:sz w:val="24"/>
          <w:szCs w:val="24"/>
        </w:rPr>
        <w:t xml:space="preserve">hin each module guide consists of lectures, tutorials, and practical sessions. Contact with staff often takes place </w:t>
      </w:r>
      <w:r w:rsidRPr="2030048C">
        <w:rPr>
          <w:rFonts w:ascii="Arial" w:eastAsia="Arial" w:hAnsi="Arial" w:cs="Arial"/>
          <w:sz w:val="24"/>
          <w:szCs w:val="24"/>
        </w:rPr>
        <w:t xml:space="preserve">in the context of giving feedback on assessed work but will not necessarily be scheduled. In addition to these there are daily drop-in </w:t>
      </w:r>
      <w:r w:rsidRPr="2030048C">
        <w:rPr>
          <w:rFonts w:ascii="Arial" w:eastAsia="Arial" w:hAnsi="Arial" w:cs="Arial"/>
          <w:sz w:val="24"/>
          <w:szCs w:val="24"/>
        </w:rPr>
        <w:t>sessi</w:t>
      </w:r>
      <w:r w:rsidRPr="2030048C">
        <w:rPr>
          <w:rFonts w:ascii="Arial" w:eastAsia="Arial" w:hAnsi="Arial" w:cs="Arial"/>
          <w:sz w:val="24"/>
          <w:szCs w:val="24"/>
        </w:rPr>
        <w:t>ons at the School’s Academic Skills Centre where support is provided on a one-to-one basis</w:t>
      </w:r>
      <w:r w:rsidRPr="2030048C">
        <w:rPr>
          <w:rFonts w:ascii="Arial" w:eastAsia="Arial" w:hAnsi="Arial" w:cs="Arial"/>
          <w:sz w:val="24"/>
          <w:szCs w:val="24"/>
        </w:rPr>
        <w:t>.</w:t>
      </w:r>
    </w:p>
    <w:p w:rsidRPr="2030048C" w:rsidP="2030048C">
      <w:pPr>
        <w:rPr>
          <w:rFonts w:ascii="Arial" w:eastAsia="Arial" w:hAnsi="Arial" w:cs="Arial"/>
          <w:sz w:val="24"/>
          <w:szCs w:val="24"/>
        </w:rPr>
      </w:pPr>
      <w:r w:rsidRPr="2030048C">
        <w:rPr>
          <w:rFonts w:ascii="Arial" w:eastAsia="Arial" w:hAnsi="Arial" w:cs="Arial"/>
          <w:b/>
          <w:bCs/>
          <w:sz w:val="24"/>
          <w:szCs w:val="24"/>
        </w:rPr>
        <w:t>Canvas</w:t>
      </w:r>
    </w:p>
    <w:p w:rsidRPr="2030048C" w:rsidP="2030048C">
      <w:pPr>
        <w:jc w:val="both"/>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the unive</w:t>
      </w:r>
      <w:r w:rsidRPr="2030048C">
        <w:rPr>
          <w:rFonts w:ascii="Arial" w:eastAsia="Arial" w:hAnsi="Arial" w:cs="Arial"/>
          <w:sz w:val="24"/>
          <w:szCs w:val="24"/>
        </w:rPr>
        <w:t>rsity’s learning management system, is used extensively in all modules as a means of dissemination of lecture notes, worksheets, assignments</w:t>
      </w:r>
      <w:r w:rsidRPr="2030048C">
        <w:rPr>
          <w:rFonts w:ascii="Arial" w:eastAsia="Arial" w:hAnsi="Arial" w:cs="Arial"/>
          <w:sz w:val="24"/>
          <w:szCs w:val="24"/>
        </w:rPr>
        <w:t>, reference materials, links, videos and lecturer annotated slides. In this way it acts as a repository for learning</w:t>
      </w:r>
      <w:r w:rsidRPr="2030048C">
        <w:rPr>
          <w:rFonts w:ascii="Arial" w:eastAsia="Arial" w:hAnsi="Arial" w:cs="Arial"/>
          <w:sz w:val="24"/>
          <w:szCs w:val="24"/>
        </w:rPr>
        <w:t xml:space="preserve"> materials to be used by the students for independent study and in addition in some modules, for formative and summative tests and surveys.</w:t>
      </w:r>
    </w:p>
    <w:p w:rsidRPr="2030048C" w:rsidP="2030048C">
      <w:pPr>
        <w:pStyle w:val="BodyText2"/>
        <w:jc w:val="both"/>
        <w:rPr>
          <w:rFonts w:ascii="Arial" w:eastAsia="Arial" w:hAnsi="Arial" w:cs="Arial"/>
          <w:sz w:val="24"/>
          <w:szCs w:val="24"/>
        </w:rPr>
      </w:pPr>
      <w:r w:rsidRPr="2030048C">
        <w:rPr>
          <w:rFonts w:ascii="Arial" w:eastAsia="Arial" w:hAnsi="Arial" w:cs="Arial"/>
          <w:sz w:val="24"/>
          <w:szCs w:val="24"/>
        </w:rPr>
        <w:t xml:space="preserve">Feedback is often provided through </w:t>
      </w:r>
      <w:r w:rsidRPr="2030048C">
        <w:rPr>
          <w:rFonts w:ascii="Arial" w:eastAsia="Arial" w:hAnsi="Arial" w:cs="Arial"/>
          <w:sz w:val="24"/>
          <w:szCs w:val="24"/>
        </w:rPr>
        <w:t>Canvas</w:t>
      </w:r>
      <w:r w:rsidRPr="2030048C">
        <w:rPr>
          <w:rFonts w:ascii="Arial" w:eastAsia="Arial" w:hAnsi="Arial" w:cs="Arial"/>
          <w:sz w:val="24"/>
          <w:szCs w:val="24"/>
        </w:rPr>
        <w:t>, in addition to face-to-face sessions.</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Assessment and Feedback </w:t>
      </w:r>
    </w:p>
    <w:p w:rsidRPr="2030048C" w:rsidP="2030048C">
      <w:pPr>
        <w:pStyle w:val="Pa3"/>
        <w:jc w:val="both"/>
        <w:rPr>
          <w:rFonts w:ascii="Arial" w:eastAsia="Arial" w:hAnsi="Arial" w:cs="Arial"/>
          <w:sz w:val="24"/>
          <w:szCs w:val="24"/>
        </w:rPr>
      </w:pPr>
      <w:r w:rsidRPr="2030048C">
        <w:rPr>
          <w:rFonts w:ascii="Arial" w:eastAsia="Arial" w:hAnsi="Arial" w:cs="Arial"/>
          <w:sz w:val="24"/>
          <w:szCs w:val="24"/>
        </w:rPr>
        <w:t>The use of</w:t>
      </w:r>
      <w:r w:rsidRPr="2030048C">
        <w:rPr>
          <w:rFonts w:ascii="Arial" w:eastAsia="Arial" w:hAnsi="Arial" w:cs="Arial"/>
          <w:sz w:val="24"/>
          <w:szCs w:val="24"/>
        </w:rPr>
        <w:t xml:space="preserve"> a variety of assessment methods is adopted as an appropriate assessment strategy to ensure all aspects of learning outcomes are covered and</w:t>
      </w:r>
      <w:r w:rsidRPr="2030048C">
        <w:rPr>
          <w:rFonts w:ascii="Arial" w:eastAsia="Arial" w:hAnsi="Arial" w:cs="Arial"/>
          <w:sz w:val="24"/>
          <w:szCs w:val="24"/>
        </w:rPr>
        <w:t xml:space="preserve"> achieved. In particular:</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w:t>
      </w:r>
      <w:r w:rsidRPr="2030048C">
        <w:rPr>
          <w:rFonts w:ascii="Arial" w:eastAsia="Arial" w:hAnsi="Arial" w:cs="Arial"/>
          <w:b/>
          <w:bCs/>
          <w:sz w:val="24"/>
          <w:szCs w:val="24"/>
        </w:rPr>
        <w:t>portfolio of coursework assignments</w:t>
      </w:r>
      <w:r w:rsidRPr="2030048C">
        <w:rPr>
          <w:rFonts w:ascii="Arial" w:eastAsia="Arial" w:hAnsi="Arial" w:cs="Arial"/>
          <w:sz w:val="24"/>
          <w:szCs w:val="24"/>
        </w:rPr>
        <w:t xml:space="preserve"> is designed to develop analytical and practical ski</w:t>
      </w:r>
      <w:r w:rsidRPr="2030048C">
        <w:rPr>
          <w:rFonts w:ascii="Arial" w:eastAsia="Arial" w:hAnsi="Arial" w:cs="Arial"/>
          <w:sz w:val="24"/>
          <w:szCs w:val="24"/>
        </w:rPr>
        <w:t xml:space="preserve">lls in a student, while an </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An </w:t>
      </w:r>
      <w:r w:rsidRPr="2030048C">
        <w:rPr>
          <w:rFonts w:ascii="Arial" w:eastAsia="Arial" w:hAnsi="Arial" w:cs="Arial"/>
          <w:b/>
          <w:bCs/>
          <w:sz w:val="24"/>
          <w:szCs w:val="24"/>
        </w:rPr>
        <w:t>unseen exam</w:t>
      </w:r>
      <w:r w:rsidRPr="2030048C">
        <w:rPr>
          <w:rFonts w:ascii="Arial" w:eastAsia="Arial" w:hAnsi="Arial" w:cs="Arial"/>
          <w:sz w:val="24"/>
          <w:szCs w:val="24"/>
        </w:rPr>
        <w:t xml:space="preserve"> is designed to develop skills required in problem solving situations, commonly found in practice.</w:t>
      </w:r>
    </w:p>
    <w:p w:rsidRPr="2030048C" w:rsidP="2030048C">
      <w:pPr>
        <w:pStyle w:val="Pa3"/>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a3"/>
        <w:rPr>
          <w:rFonts w:ascii="Arial" w:eastAsia="Arial" w:hAnsi="Arial" w:cs="Arial"/>
          <w:sz w:val="24"/>
          <w:szCs w:val="24"/>
        </w:rPr>
      </w:pPr>
      <w:r w:rsidRPr="2030048C">
        <w:rPr>
          <w:rFonts w:ascii="Arial" w:eastAsia="Arial" w:hAnsi="Arial" w:cs="Arial"/>
          <w:sz w:val="24"/>
          <w:szCs w:val="24"/>
        </w:rPr>
        <w:t xml:space="preserve">The </w:t>
      </w:r>
      <w:r w:rsidRPr="2030048C">
        <w:rPr>
          <w:rFonts w:ascii="Arial" w:eastAsia="Arial" w:hAnsi="Arial" w:cs="Arial"/>
          <w:b/>
          <w:bCs/>
          <w:sz w:val="24"/>
          <w:szCs w:val="24"/>
        </w:rPr>
        <w:t>formative assessment</w:t>
      </w:r>
      <w:r w:rsidRPr="2030048C">
        <w:rPr>
          <w:rFonts w:ascii="Arial" w:eastAsia="Arial" w:hAnsi="Arial" w:cs="Arial"/>
          <w:sz w:val="24"/>
          <w:szCs w:val="24"/>
        </w:rPr>
        <w:t xml:space="preserve"> is used to help students answer particular components of the assessment by giving them ti</w:t>
      </w:r>
      <w:r w:rsidRPr="2030048C">
        <w:rPr>
          <w:rFonts w:ascii="Arial" w:eastAsia="Arial" w:hAnsi="Arial" w:cs="Arial"/>
          <w:sz w:val="24"/>
          <w:szCs w:val="24"/>
        </w:rPr>
        <w:t xml:space="preserve">mely feedback on exercises specially designed to simulate the exam questions or elements of the coursework assignments. The </w:t>
      </w:r>
      <w:r w:rsidRPr="2030048C">
        <w:rPr>
          <w:rFonts w:ascii="Arial" w:eastAsia="Arial" w:hAnsi="Arial" w:cs="Arial"/>
          <w:b/>
          <w:bCs/>
          <w:sz w:val="24"/>
          <w:szCs w:val="24"/>
        </w:rPr>
        <w:t>feedback</w:t>
      </w:r>
      <w:r w:rsidRPr="2030048C">
        <w:rPr>
          <w:rFonts w:ascii="Arial" w:eastAsia="Arial" w:hAnsi="Arial" w:cs="Arial"/>
          <w:sz w:val="24"/>
          <w:szCs w:val="24"/>
        </w:rPr>
        <w:t xml:space="preserve"> is prov</w:t>
      </w:r>
      <w:r w:rsidRPr="2030048C">
        <w:rPr>
          <w:rFonts w:ascii="Arial" w:eastAsia="Arial" w:hAnsi="Arial" w:cs="Arial"/>
          <w:sz w:val="24"/>
          <w:szCs w:val="24"/>
        </w:rPr>
        <w:t>ided in:</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w:t>
      </w:r>
      <w:r w:rsidRPr="2030048C">
        <w:rPr>
          <w:rFonts w:ascii="Arial" w:eastAsia="Arial" w:hAnsi="Arial" w:cs="Arial"/>
          <w:b/>
          <w:bCs/>
          <w:sz w:val="24"/>
          <w:szCs w:val="24"/>
        </w:rPr>
        <w:t>written form</w:t>
      </w:r>
      <w:r w:rsidRPr="2030048C">
        <w:rPr>
          <w:rFonts w:ascii="Arial" w:eastAsia="Arial" w:hAnsi="Arial" w:cs="Arial"/>
          <w:sz w:val="24"/>
          <w:szCs w:val="24"/>
        </w:rPr>
        <w:t xml:space="preserve"> thus presenting an additional learning resource helping the student</w:t>
      </w:r>
      <w:r w:rsidRPr="2030048C">
        <w:rPr>
          <w:rFonts w:ascii="Arial" w:eastAsia="Arial" w:hAnsi="Arial" w:cs="Arial"/>
          <w:sz w:val="24"/>
          <w:szCs w:val="24"/>
        </w:rPr>
        <w:t xml:space="preserve">  </w:t>
      </w:r>
      <w:r w:rsidRPr="2030048C">
        <w:rPr>
          <w:rFonts w:ascii="Arial" w:eastAsia="Arial" w:hAnsi="Arial" w:cs="Arial"/>
          <w:sz w:val="24"/>
          <w:szCs w:val="24"/>
        </w:rPr>
        <w:t>build the knowledge t</w:t>
      </w:r>
      <w:r w:rsidRPr="2030048C">
        <w:rPr>
          <w:rFonts w:ascii="Arial" w:eastAsia="Arial" w:hAnsi="Arial" w:cs="Arial"/>
          <w:sz w:val="24"/>
          <w:szCs w:val="24"/>
        </w:rPr>
        <w:t xml:space="preserve">hroughout the learning process and prepare for the summative assessment.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w:t>
      </w:r>
      <w:r w:rsidRPr="2030048C">
        <w:rPr>
          <w:rFonts w:ascii="Arial" w:eastAsia="Arial" w:hAnsi="Arial" w:cs="Arial"/>
          <w:b/>
          <w:bCs/>
          <w:sz w:val="24"/>
          <w:szCs w:val="24"/>
        </w:rPr>
        <w:t xml:space="preserve">exercises </w:t>
      </w:r>
      <w:r w:rsidRPr="2030048C">
        <w:rPr>
          <w:rFonts w:ascii="Arial" w:eastAsia="Arial" w:hAnsi="Arial" w:cs="Arial"/>
          <w:sz w:val="24"/>
          <w:szCs w:val="24"/>
        </w:rPr>
        <w:t xml:space="preserve">may take various forms including: </w:t>
      </w:r>
    </w:p>
    <w:p w:rsidRPr="2030048C" w:rsidP="2030048C">
      <w:pPr>
        <w:numPr>
          <w:ilvl w:val="1"/>
          <w:numId w:val="19"/>
        </w:numPr>
        <w:ind w:left="1440" w:right="0" w:hanging="360"/>
        <w:jc w:val="both"/>
        <w:rPr>
          <w:rFonts w:ascii="Arial" w:eastAsia="Arial" w:hAnsi="Arial" w:cs="Arial"/>
          <w:sz w:val="24"/>
          <w:szCs w:val="24"/>
        </w:rPr>
      </w:pPr>
      <w:r w:rsidRPr="2030048C">
        <w:rPr>
          <w:rFonts w:ascii="Arial" w:eastAsia="Arial" w:hAnsi="Arial" w:cs="Arial"/>
          <w:sz w:val="24"/>
          <w:szCs w:val="24"/>
        </w:rPr>
        <w:t>small building pr</w:t>
      </w:r>
      <w:r w:rsidRPr="2030048C">
        <w:rPr>
          <w:rFonts w:ascii="Arial" w:eastAsia="Arial" w:hAnsi="Arial" w:cs="Arial"/>
          <w:sz w:val="24"/>
          <w:szCs w:val="24"/>
        </w:rPr>
        <w:t xml:space="preserve">ojects, </w:t>
      </w:r>
    </w:p>
    <w:p w:rsidRPr="2030048C" w:rsidP="2030048C">
      <w:pPr>
        <w:numPr>
          <w:ilvl w:val="1"/>
          <w:numId w:val="19"/>
        </w:numPr>
        <w:ind w:left="1440" w:right="0" w:hanging="360"/>
        <w:jc w:val="both"/>
        <w:rPr>
          <w:rFonts w:ascii="Arial" w:eastAsia="Arial" w:hAnsi="Arial" w:cs="Arial"/>
          <w:sz w:val="24"/>
          <w:szCs w:val="24"/>
        </w:rPr>
      </w:pPr>
      <w:r w:rsidRPr="2030048C">
        <w:rPr>
          <w:rFonts w:ascii="Arial" w:eastAsia="Arial" w:hAnsi="Arial" w:cs="Arial"/>
          <w:sz w:val="24"/>
          <w:szCs w:val="24"/>
        </w:rPr>
        <w:t xml:space="preserve">essay writing or </w:t>
      </w:r>
    </w:p>
    <w:p w:rsidRPr="2030048C" w:rsidP="2030048C">
      <w:pPr>
        <w:numPr>
          <w:ilvl w:val="1"/>
          <w:numId w:val="19"/>
        </w:numPr>
        <w:ind w:left="1440" w:right="0" w:hanging="360"/>
        <w:jc w:val="both"/>
        <w:rPr>
          <w:rFonts w:ascii="Arial" w:eastAsia="Arial" w:hAnsi="Arial" w:cs="Arial"/>
          <w:sz w:val="24"/>
          <w:szCs w:val="24"/>
        </w:rPr>
      </w:pPr>
      <w:r w:rsidRPr="2030048C">
        <w:rPr>
          <w:rFonts w:ascii="Arial" w:eastAsia="Arial" w:hAnsi="Arial" w:cs="Arial"/>
          <w:sz w:val="24"/>
          <w:szCs w:val="24"/>
        </w:rPr>
        <w:t>analysing past exam questions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At the end of the course every student undertakes a </w:t>
      </w:r>
      <w:r w:rsidRPr="2030048C">
        <w:rPr>
          <w:rFonts w:ascii="Arial" w:eastAsia="Arial" w:hAnsi="Arial" w:cs="Arial"/>
          <w:b/>
          <w:bCs/>
          <w:sz w:val="24"/>
          <w:szCs w:val="24"/>
        </w:rPr>
        <w:t>projec</w:t>
      </w:r>
      <w:r w:rsidRPr="2030048C">
        <w:rPr>
          <w:rFonts w:ascii="Arial" w:eastAsia="Arial" w:hAnsi="Arial" w:cs="Arial"/>
          <w:b/>
          <w:bCs/>
          <w:sz w:val="24"/>
          <w:szCs w:val="24"/>
        </w:rPr>
        <w:t>t dissertation</w:t>
      </w:r>
      <w:r w:rsidRPr="2030048C">
        <w:rPr>
          <w:rFonts w:ascii="Arial" w:eastAsia="Arial" w:hAnsi="Arial" w:cs="Arial"/>
          <w:sz w:val="24"/>
          <w:szCs w:val="24"/>
        </w:rPr>
        <w:t xml:space="preserve"> which is a significant activity that draws on and enhances the skills and knowledge developed throughout the programme. As su</w:t>
      </w:r>
      <w:r w:rsidRPr="2030048C">
        <w:rPr>
          <w:rFonts w:ascii="Arial" w:eastAsia="Arial" w:hAnsi="Arial" w:cs="Arial"/>
          <w:sz w:val="24"/>
          <w:szCs w:val="24"/>
        </w:rPr>
        <w:t>ch, the assessment places greater emphasis on ability to plan work, manage time effectively, and research background</w:t>
      </w:r>
      <w:r w:rsidRPr="2030048C">
        <w:rPr>
          <w:rFonts w:ascii="Arial" w:eastAsia="Arial" w:hAnsi="Arial" w:cs="Arial"/>
          <w:sz w:val="24"/>
          <w:szCs w:val="24"/>
        </w:rPr>
        <w:t xml:space="preserve"> information, culminating in portfolio of written reports and an interview.</w:t>
      </w:r>
    </w:p>
    <w:p w:rsidRPr="2030048C" w:rsidP="2030048C">
      <w:pPr>
        <w:pStyle w:val="ListContinue3"/>
        <w:ind w:left="0"/>
        <w:jc w:val="both"/>
        <w:rPr>
          <w:rFonts w:ascii="Arial" w:eastAsia="Arial" w:hAnsi="Arial" w:cs="Arial"/>
          <w:sz w:val="24"/>
          <w:szCs w:val="24"/>
        </w:rPr>
      </w:pPr>
      <w:r w:rsidRPr="2030048C">
        <w:rPr>
          <w:rFonts w:ascii="Arial" w:eastAsia="Arial" w:hAnsi="Arial" w:cs="Arial"/>
          <w:sz w:val="24"/>
          <w:szCs w:val="24"/>
        </w:rPr>
        <w:t xml:space="preserve">In the programme as a whole, the </w:t>
      </w:r>
      <w:r w:rsidRPr="2030048C">
        <w:rPr>
          <w:rFonts w:ascii="Arial" w:eastAsia="Arial" w:hAnsi="Arial" w:cs="Arial"/>
          <w:sz w:val="24"/>
          <w:szCs w:val="24"/>
        </w:rPr>
        <w:t>assessment</w:t>
      </w:r>
      <w:r w:rsidRPr="2030048C">
        <w:rPr>
          <w:rFonts w:ascii="Arial" w:eastAsia="Arial" w:hAnsi="Arial" w:cs="Arial"/>
          <w:sz w:val="24"/>
          <w:szCs w:val="24"/>
        </w:rPr>
        <w:t xml:space="preserve"> components </w:t>
      </w:r>
      <w:r w:rsidRPr="2030048C">
        <w:rPr>
          <w:rFonts w:ascii="Arial" w:eastAsia="Arial" w:hAnsi="Arial" w:cs="Arial"/>
          <w:sz w:val="24"/>
          <w:szCs w:val="24"/>
        </w:rPr>
        <w:t>as outlin</w:t>
      </w:r>
      <w:r w:rsidRPr="2030048C">
        <w:rPr>
          <w:rFonts w:ascii="Arial" w:eastAsia="Arial" w:hAnsi="Arial" w:cs="Arial"/>
          <w:sz w:val="24"/>
          <w:szCs w:val="24"/>
        </w:rPr>
        <w:t xml:space="preserve">ed in the </w:t>
      </w:r>
      <w:r w:rsidRPr="2030048C">
        <w:rPr>
          <w:rFonts w:ascii="Arial" w:eastAsia="Arial" w:hAnsi="Arial" w:cs="Arial"/>
          <w:b/>
          <w:bCs/>
          <w:sz w:val="24"/>
          <w:szCs w:val="24"/>
        </w:rPr>
        <w:t>Section C</w:t>
      </w:r>
      <w:r w:rsidRPr="2030048C">
        <w:rPr>
          <w:rFonts w:ascii="Arial" w:eastAsia="Arial" w:hAnsi="Arial" w:cs="Arial"/>
          <w:sz w:val="24"/>
          <w:szCs w:val="24"/>
        </w:rPr>
        <w:t xml:space="preserve">, under the </w:t>
      </w:r>
      <w:r w:rsidRPr="2030048C">
        <w:rPr>
          <w:rFonts w:ascii="Arial" w:eastAsia="Arial" w:hAnsi="Arial" w:cs="Arial"/>
          <w:b/>
          <w:bCs/>
          <w:sz w:val="24"/>
          <w:szCs w:val="24"/>
        </w:rPr>
        <w:t>Teaching/Learning and Assessment Strategies</w:t>
      </w:r>
      <w:r w:rsidRPr="2030048C">
        <w:rPr>
          <w:rFonts w:ascii="Arial" w:eastAsia="Arial" w:hAnsi="Arial" w:cs="Arial"/>
          <w:sz w:val="24"/>
          <w:szCs w:val="24"/>
        </w:rPr>
        <w:t xml:space="preserve"> heading </w:t>
      </w:r>
      <w:r w:rsidRPr="2030048C">
        <w:rPr>
          <w:rFonts w:ascii="Arial" w:eastAsia="Arial" w:hAnsi="Arial" w:cs="Arial"/>
          <w:sz w:val="24"/>
          <w:szCs w:val="24"/>
        </w:rPr>
        <w:t xml:space="preserve">are used in </w:t>
      </w:r>
      <w:r w:rsidRPr="2030048C">
        <w:rPr>
          <w:rFonts w:ascii="Arial" w:eastAsia="Arial" w:hAnsi="Arial" w:cs="Arial"/>
          <w:sz w:val="24"/>
          <w:szCs w:val="24"/>
        </w:rPr>
        <w:t>all of the modules.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Research Informed Teaching</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w:t>
      </w:r>
      <w:r w:rsidRPr="2030048C">
        <w:rPr>
          <w:rFonts w:ascii="Arial" w:eastAsia="Arial" w:hAnsi="Arial" w:cs="Arial"/>
          <w:b/>
          <w:bCs/>
          <w:sz w:val="24"/>
          <w:szCs w:val="24"/>
        </w:rPr>
        <w:t xml:space="preserve">Digital </w:t>
      </w:r>
      <w:r w:rsidRPr="2030048C">
        <w:rPr>
          <w:rFonts w:ascii="Arial" w:eastAsia="Arial" w:hAnsi="Arial" w:cs="Arial"/>
          <w:b/>
          <w:bCs/>
          <w:sz w:val="24"/>
          <w:szCs w:val="24"/>
        </w:rPr>
        <w:t>Information</w:t>
      </w:r>
      <w:r w:rsidRPr="2030048C">
        <w:rPr>
          <w:rFonts w:ascii="Arial" w:eastAsia="Arial" w:hAnsi="Arial" w:cs="Arial"/>
          <w:b/>
          <w:bCs/>
          <w:sz w:val="24"/>
          <w:szCs w:val="24"/>
        </w:rPr>
        <w:t xml:space="preserve"> Research Centre (DIRC)</w:t>
      </w:r>
      <w:r w:rsidRPr="2030048C">
        <w:rPr>
          <w:rFonts w:ascii="Arial" w:eastAsia="Arial" w:hAnsi="Arial" w:cs="Arial"/>
          <w:sz w:val="24"/>
          <w:szCs w:val="24"/>
        </w:rPr>
        <w:t xml:space="preserve"> is one of the largest computer vision groups in the UK, with inter</w:t>
      </w:r>
      <w:r w:rsidRPr="2030048C">
        <w:rPr>
          <w:rFonts w:ascii="Arial" w:eastAsia="Arial" w:hAnsi="Arial" w:cs="Arial"/>
          <w:sz w:val="24"/>
          <w:szCs w:val="24"/>
        </w:rPr>
        <w:t xml:space="preserve">nationally recognised expertise </w:t>
      </w:r>
      <w:r w:rsidRPr="2030048C">
        <w:rPr>
          <w:rFonts w:ascii="Arial" w:eastAsia="Arial" w:hAnsi="Arial" w:cs="Arial"/>
          <w:sz w:val="24"/>
          <w:szCs w:val="24"/>
        </w:rPr>
        <w:t>Big Data and other relevant areas</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also able to develop their researc</w:t>
      </w:r>
      <w:r w:rsidRPr="2030048C">
        <w:rPr>
          <w:rFonts w:ascii="Arial" w:eastAsia="Arial" w:hAnsi="Arial" w:cs="Arial"/>
          <w:sz w:val="24"/>
          <w:szCs w:val="24"/>
        </w:rPr>
        <w:t>h skills which form a fundamental part of the curriculum. These skills enable students to distinguish and present appropriate evidentiary in</w:t>
      </w:r>
      <w:r w:rsidRPr="2030048C">
        <w:rPr>
          <w:rFonts w:ascii="Arial" w:eastAsia="Arial" w:hAnsi="Arial" w:cs="Arial"/>
          <w:sz w:val="24"/>
          <w:szCs w:val="24"/>
        </w:rPr>
        <w:t xml:space="preserve">formation in an argument. These skills are greatly valued by employers. </w:t>
      </w:r>
    </w:p>
    <w:p w:rsidRPr="2030048C" w:rsidP="2030048C">
      <w:pPr>
        <w:jc w:val="both"/>
        <w:rPr>
          <w:rFonts w:ascii="Arial" w:eastAsia="Arial" w:hAnsi="Arial" w:cs="Arial"/>
          <w:sz w:val="24"/>
          <w:szCs w:val="24"/>
        </w:rPr>
      </w:pPr>
      <w:r w:rsidRPr="2030048C">
        <w:rPr>
          <w:rFonts w:ascii="Arial" w:eastAsia="Arial" w:hAnsi="Arial" w:cs="Arial"/>
          <w:sz w:val="24"/>
          <w:szCs w:val="24"/>
        </w:rPr>
        <w:t>Staff also engage with research into teachi</w:t>
      </w:r>
      <w:r w:rsidRPr="2030048C">
        <w:rPr>
          <w:rFonts w:ascii="Arial" w:eastAsia="Arial" w:hAnsi="Arial" w:cs="Arial"/>
          <w:sz w:val="24"/>
          <w:szCs w:val="24"/>
        </w:rPr>
        <w:t>ng and learning in Higher Education which feeds through to support learning in lectures and other forms of student engagement during contact</w:t>
      </w:r>
      <w:r w:rsidRPr="2030048C">
        <w:rPr>
          <w:rFonts w:ascii="Arial" w:eastAsia="Arial" w:hAnsi="Arial" w:cs="Arial"/>
          <w:sz w:val="24"/>
          <w:szCs w:val="24"/>
        </w:rPr>
        <w:t xml:space="preserve"> time.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 xml:space="preserve">Students are supported by a highly qualified team of academic staff </w:t>
      </w:r>
      <w:r w:rsidRPr="2030048C">
        <w:rPr>
          <w:rFonts w:ascii="Arial" w:eastAsia="Arial" w:hAnsi="Arial" w:cs="Arial"/>
          <w:sz w:val="24"/>
          <w:szCs w:val="24"/>
        </w:rPr>
        <w:t xml:space="preserve">that </w:t>
      </w:r>
      <w:r w:rsidRPr="2030048C">
        <w:rPr>
          <w:rFonts w:ascii="Arial" w:eastAsia="Arial" w:hAnsi="Arial" w:cs="Arial"/>
          <w:sz w:val="24"/>
          <w:szCs w:val="24"/>
        </w:rPr>
        <w:t xml:space="preserve">includes individuals in the following roles: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Course </w:t>
      </w:r>
      <w:r w:rsidRPr="2030048C">
        <w:rPr>
          <w:rFonts w:ascii="Arial" w:eastAsia="Arial" w:hAnsi="Arial" w:cs="Arial"/>
          <w:sz w:val="24"/>
          <w:szCs w:val="24"/>
        </w:rPr>
        <w:t xml:space="preserve">Leader </w:t>
      </w:r>
      <w:r w:rsidRPr="2030048C">
        <w:rPr>
          <w:rFonts w:ascii="Arial" w:eastAsia="Arial" w:hAnsi="Arial" w:cs="Arial"/>
          <w:sz w:val="24"/>
          <w:szCs w:val="24"/>
        </w:rPr>
        <w:t>to help students understand the programme structure</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w:t>
      </w:r>
      <w:r w:rsidRPr="2030048C">
        <w:rPr>
          <w:rFonts w:ascii="Arial" w:eastAsia="Arial" w:hAnsi="Arial" w:cs="Arial"/>
          <w:sz w:val="24"/>
          <w:szCs w:val="24"/>
        </w:rPr>
        <w:t>Personal tutor to</w:t>
      </w:r>
      <w:r w:rsidRPr="2030048C">
        <w:rPr>
          <w:rFonts w:ascii="Arial" w:eastAsia="Arial" w:hAnsi="Arial" w:cs="Arial"/>
          <w:sz w:val="24"/>
          <w:szCs w:val="24"/>
        </w:rPr>
        <w:t xml:space="preserve"> help and guide the student throughout the course</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A M</w:t>
      </w:r>
      <w:r w:rsidRPr="2030048C">
        <w:rPr>
          <w:rFonts w:ascii="Arial" w:eastAsia="Arial" w:hAnsi="Arial" w:cs="Arial"/>
          <w:sz w:val="24"/>
          <w:szCs w:val="24"/>
        </w:rPr>
        <w:t xml:space="preserve">odule </w:t>
      </w:r>
      <w:r w:rsidRPr="2030048C">
        <w:rPr>
          <w:rFonts w:ascii="Arial" w:eastAsia="Arial" w:hAnsi="Arial" w:cs="Arial"/>
          <w:sz w:val="24"/>
          <w:szCs w:val="24"/>
        </w:rPr>
        <w:t>L</w:t>
      </w:r>
      <w:r w:rsidRPr="2030048C">
        <w:rPr>
          <w:rFonts w:ascii="Arial" w:eastAsia="Arial" w:hAnsi="Arial" w:cs="Arial"/>
          <w:sz w:val="24"/>
          <w:szCs w:val="24"/>
        </w:rPr>
        <w:t xml:space="preserve">eader for each module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Additional support is provided by the following specialist staff:</w:t>
      </w:r>
    </w:p>
    <w:p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Technical </w:t>
      </w:r>
      <w:r w:rsidRPr="2030048C">
        <w:rPr>
          <w:rFonts w:ascii="Arial" w:eastAsia="Arial" w:hAnsi="Arial" w:cs="Arial"/>
          <w:sz w:val="24"/>
          <w:szCs w:val="24"/>
        </w:rPr>
        <w:t>S</w:t>
      </w:r>
      <w:r w:rsidRPr="2030048C">
        <w:rPr>
          <w:rFonts w:ascii="Arial" w:eastAsia="Arial" w:hAnsi="Arial" w:cs="Arial"/>
          <w:sz w:val="24"/>
          <w:szCs w:val="24"/>
        </w:rPr>
        <w:t>upport to advise students on IT and the use of software</w:t>
      </w:r>
    </w:p>
    <w:p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A designated</w:t>
      </w:r>
      <w:r w:rsidRPr="2030048C">
        <w:rPr>
          <w:rFonts w:ascii="Arial" w:eastAsia="Arial" w:hAnsi="Arial" w:cs="Arial"/>
          <w:sz w:val="24"/>
          <w:szCs w:val="24"/>
        </w:rPr>
        <w:t xml:space="preserve"> </w:t>
      </w:r>
      <w:r w:rsidRPr="2030048C">
        <w:rPr>
          <w:rFonts w:ascii="Arial" w:eastAsia="Arial" w:hAnsi="Arial" w:cs="Arial"/>
          <w:sz w:val="24"/>
          <w:szCs w:val="24"/>
        </w:rPr>
        <w:t>P</w:t>
      </w:r>
      <w:r w:rsidRPr="2030048C">
        <w:rPr>
          <w:rFonts w:ascii="Arial" w:eastAsia="Arial" w:hAnsi="Arial" w:cs="Arial"/>
          <w:sz w:val="24"/>
          <w:szCs w:val="24"/>
        </w:rPr>
        <w:t xml:space="preserve">rogramme </w:t>
      </w:r>
      <w:r w:rsidRPr="2030048C">
        <w:rPr>
          <w:rFonts w:ascii="Arial" w:eastAsia="Arial" w:hAnsi="Arial" w:cs="Arial"/>
          <w:sz w:val="24"/>
          <w:szCs w:val="24"/>
        </w:rPr>
        <w:t>A</w:t>
      </w:r>
      <w:r w:rsidRPr="2030048C">
        <w:rPr>
          <w:rFonts w:ascii="Arial" w:eastAsia="Arial" w:hAnsi="Arial" w:cs="Arial"/>
          <w:sz w:val="24"/>
          <w:szCs w:val="24"/>
        </w:rPr>
        <w:t>dministrator</w:t>
      </w:r>
    </w:p>
    <w:p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En</w:t>
      </w:r>
      <w:r w:rsidRPr="2030048C">
        <w:rPr>
          <w:rFonts w:ascii="Arial" w:eastAsia="Arial" w:hAnsi="Arial" w:cs="Arial"/>
          <w:sz w:val="24"/>
          <w:szCs w:val="24"/>
        </w:rPr>
        <w:t>glish language support for international students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Matters outside the academic arena are supported by:</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Student supp</w:t>
      </w:r>
      <w:r w:rsidRPr="2030048C">
        <w:rPr>
          <w:rFonts w:ascii="Arial" w:eastAsia="Arial" w:hAnsi="Arial" w:cs="Arial"/>
          <w:sz w:val="24"/>
          <w:szCs w:val="24"/>
        </w:rPr>
        <w:t xml:space="preserve">ort facilities that provide advice on issues such as finance, regulations, legal matters, accommodation, international student support etc. </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 xml:space="preserve">Disability and dyslexia student support </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A substantial Study Skills Centre that provides academic skills support</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Ca</w:t>
      </w:r>
      <w:r w:rsidRPr="2030048C">
        <w:rPr>
          <w:rFonts w:ascii="Arial" w:eastAsia="Arial" w:hAnsi="Arial" w:cs="Arial"/>
          <w:sz w:val="24"/>
          <w:szCs w:val="24"/>
        </w:rPr>
        <w:t>reers and Employability Service</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Students’ Union </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session</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Staff Student Consultat</w:t>
      </w:r>
      <w:r w:rsidRPr="2030048C">
        <w:rPr>
          <w:rFonts w:ascii="Arial" w:eastAsia="Arial" w:hAnsi="Arial" w:cs="Arial"/>
          <w:sz w:val="24"/>
          <w:szCs w:val="24"/>
        </w:rPr>
        <w:t>ive Committee</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xml:space="preserve"> – a versatile on-line interactive </w:t>
      </w:r>
      <w:r w:rsidRPr="2030048C">
        <w:rPr>
          <w:rFonts w:ascii="Arial" w:eastAsia="Arial" w:hAnsi="Arial" w:cs="Arial"/>
          <w:sz w:val="24"/>
          <w:szCs w:val="24"/>
        </w:rPr>
        <w:t>learning management system available on the university’s intr</w:t>
      </w:r>
      <w:r w:rsidRPr="2030048C">
        <w:rPr>
          <w:rFonts w:ascii="Arial" w:eastAsia="Arial" w:hAnsi="Arial" w:cs="Arial"/>
          <w:sz w:val="24"/>
          <w:szCs w:val="24"/>
        </w:rPr>
        <w:t>anet</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The University </w:t>
      </w:r>
      <w:r w:rsidRPr="2030048C">
        <w:rPr>
          <w:rFonts w:ascii="Arial" w:eastAsia="Arial" w:hAnsi="Arial" w:cs="Arial"/>
          <w:sz w:val="24"/>
          <w:szCs w:val="24"/>
        </w:rPr>
        <w:t>h</w:t>
      </w:r>
      <w:r w:rsidRPr="2030048C">
        <w:rPr>
          <w:rFonts w:ascii="Arial" w:eastAsia="Arial" w:hAnsi="Arial" w:cs="Arial"/>
          <w:sz w:val="24"/>
          <w:szCs w:val="24"/>
        </w:rPr>
        <w:t>as several methods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External</w:t>
      </w:r>
      <w:r w:rsidRPr="2030048C">
        <w:rPr>
          <w:rFonts w:ascii="Arial" w:eastAsia="Arial" w:hAnsi="Arial" w:cs="Arial"/>
          <w:sz w:val="24"/>
          <w:szCs w:val="24"/>
        </w:rPr>
        <w:t xml:space="preserve"> examiners</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t</w:t>
      </w:r>
      <w:r w:rsidRPr="2030048C">
        <w:rPr>
          <w:rFonts w:ascii="Arial" w:eastAsia="Arial" w:hAnsi="Arial" w:cs="Arial"/>
          <w:sz w:val="24"/>
          <w:szCs w:val="24"/>
        </w:rPr>
        <w:t>he subject level</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 xml:space="preserve">Periodic review for professional </w:t>
      </w:r>
      <w:r w:rsidRPr="2030048C">
        <w:rPr>
          <w:rFonts w:ascii="Arial" w:eastAsia="Arial" w:hAnsi="Arial" w:cs="Arial"/>
          <w:sz w:val="24"/>
          <w:szCs w:val="24"/>
        </w:rPr>
        <w:t>accreditation</w:t>
      </w:r>
      <w:r w:rsidRPr="2030048C">
        <w:rPr>
          <w:rFonts w:ascii="Arial" w:eastAsia="Arial" w:hAnsi="Arial" w:cs="Arial"/>
          <w:sz w:val="24"/>
          <w:szCs w:val="24"/>
        </w:rPr>
        <w:t xml:space="preserve"> by the BCS: The Chartered Institute f</w:t>
      </w:r>
      <w:r w:rsidRPr="2030048C">
        <w:rPr>
          <w:rFonts w:ascii="Arial" w:eastAsia="Arial" w:hAnsi="Arial" w:cs="Arial"/>
          <w:sz w:val="24"/>
          <w:szCs w:val="24"/>
        </w:rPr>
        <w:t>or IT</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CI7240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CI7230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BodyText2">
    <w:name w:val="BodyText2"/>
    <w:basedOn w:val="ListParagraph"/>
  </w:style>
  <w:style w:type="paragraph" w:customStyle="1" w:styleId="Pa3">
    <w:name w:val="Pa3"/>
    <w:basedOn w:val="Normal"/>
  </w:style>
  <w:style w:type="paragraph" w:customStyle="1" w:styleId="ListContinue3">
    <w:name w:val="ListContinue3"/>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3E8D882-516A-4FB3-899C-6F8E5A1F910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