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Environmental Management (Energy)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Management (Energy)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Environmental Management (Energy)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Environmental Management (Energy)</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PFEME1EME21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 Singapore, ChinaTown campus,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the MSc programme are normally expected to hold a good honours degree (or recognised equivalent) in a relevant discipline such as: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Environmental Science or Environmental Management</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Energy Studies or Sustainable Energy</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Geography or Earth Sciences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Engineering (e.g., Mechanical, Electrical, Civil, Environmental)</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Sustainability or Climate Studies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Natural Sciences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Planning or Urban Studies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Business or Economics (with relevance to sustainability or energy)</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 a closely related field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Qualifications awarded by recognised universities in Singapore and the wider region will be considered, including degrees from public and private institutions accredited by relevant national authorities.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the following qualifications may be considered:</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Bachelor’s degree in a relevant discipline from a recognised university or accredited private institution</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relevant Graduate Diploma or Postgraduate Diploma with strong academic performance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Polytechnic Diplomas in related fields (e.g., environmental studies, engineering, sustainability) combined with substantial relevant work experience may be considered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from other countries in the region will be assessed based on:</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Equivalence of their qualification to a UK honours degree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performance and subject relevance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Professional experience in related fields (e.g., environmental studies, engineering, sustainability) where applicable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Non-standard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 do not hold a first degree may still be considered if they can demonstrate:</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least 5 years of relevant professional experience in environmental management, sustainability, energy management, engineering, or related areas</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Evidence of technical capability and readiness for postgraduate study</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Strong motivation and potential to succeed at MSc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Such applications will be reviewed individually and may involve an interview.</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demonstrate proficiency equivalent to:</w:t>
            </w:r>
          </w:p>
          <w:p w:rsidRPr="2030048C" w:rsidP="2030048C">
            <w:pPr>
              <w:numPr>
                <w:ilvl w:val="0"/>
                <w:numId w:val="16"/>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6.5</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minimum 6.0</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Listening, Speaking: minimum 5.5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7"/>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88</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Listening: 17</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Speaking: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Recognised English qualifications (regional equivalents)</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Singapore GCE O-Level English – Credit or above</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or Degree qualifications delivered fully in English</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Approved English for Academic Purposes (EAP) programmes at recognised institutions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qualifications from regional partners will be assessed for equivalency in line with Kingston University regulations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in Environmental Management addresses today's socioeconomic, ecological, and environmental challenges associated with the provision of energy</w:t>
      </w:r>
      <w:hyperlink w:anchor="_msocom_1" w:history="1">
        <w:r w:rsidRPr="2030048C">
          <w:rPr>
            <w:rStyle w:val="normaltextrun"/>
            <w:rFonts w:ascii="Arial" w:hAnsi="Arial" w:cs="Arial"/>
            <w:color w:val="000000" w:themeColor="text1"/>
            <w:sz w:val="24"/>
            <w:szCs w:val="24"/>
            <w:shd w:val="clear" w:color="auto" w:fill="FFFFFF"/>
          </w:rPr>
          <w:t>[DK1]</w:t>
        </w:r>
      </w:hyperlink>
      <w:r w:rsidRPr="2030048C">
        <w:rPr>
          <w:rStyle w:val="normaltextrun"/>
          <w:rFonts w:ascii="Arial" w:hAnsi="Arial" w:cs="Arial"/>
          <w:color w:val="000000" w:themeColor="text1"/>
          <w:sz w:val="24"/>
          <w:szCs w:val="24"/>
          <w:shd w:val="clear" w:color="auto" w:fill="FFFFFF"/>
        </w:rPr>
        <w:t> , goods and services, and the sustainable management of the natural and built environment that cannot be achieved with business-as-usual practices. Students study theoretical, practical, and legal frameworks for promoting sustainable environmental practices at individual, institutional and governmental levels. They learn how to innovate, respond to new and emerging challenges and work effectively in changing and unfamiliar situations.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for the MSc Environmental Management are: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detailed knowledge and understanding of the important relationships between environmental management and natural ecosystems, and the value for adopting an integrated approach to studying both;</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enhance students’ abilities to investigate the rationale behind the exploitation of natural environments and to demonstrate how they can be sustainably managed;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conceptual and intellectual framework within which students can understand the breadth, application, and contexts of environmental management;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students’ ability to critically interrogate environmental data and design, conduct and report original research relevant to environmental management;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key skills in group work, independent research, report writing and oral presentation, and to develop reflection and promote self-awareness in learning;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analytical overview of the drivers and effects of climate change; to critically evaluate the effectiveness of policy and practice from local to global scale; and the perspective and role of different actors and praxis in responding to change;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range of professional competences in line with the KU Future Skills Strategy.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career prospects through the development of a range of skills that enable students to present themselves effectively, network and make informed decisions about employment and career plans.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knowledge of the techniques relevant to a modern energy professional from supply (e.g., conventional and non-conventional hydrocarbons, nuclear power, wind, wave, geothermal and tidal; large-scale/local production), though transmission and storage to consumption. </w:t>
      </w:r>
    </w:p>
    <w:p w:rsidRPr="2030048C" w:rsidP="2030048C">
      <w:pPr>
        <w:pStyle w:val="MsoBlockText0CxSpMiddle"/>
        <w:ind w:left="0" w:right="9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evaluate major environmental problems associated with the development and use of natural resources and be able to propose management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able to design, manage and critical evaluate an independent research project and to communicate concisely, orally and in writing, the findings of their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execute a sustained piece of independent research and critically evaluate and interpret data in the context of contemporary research.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judgement, reflection and original thought to problem solving in a variety of contexts pertinent to sustainable environmental management and to develop policy and management responses to environmental change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interpretation and presentation of primary research data and be able to critically synthesise incomplete or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execute a sustained piece of independent research and critically evaluate and interpret data in the context of contemporary research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understanding of the multidisciplinary challenges characteristic of environmental management in the context of managing threatened natural environments, scarce water resources and over-exploited energy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quantitative data with accuracy and precision and adapt approach and analytical techniques to new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quantitative data with accuracy and precision and adapt approach and analytical techniques to new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how the operation of energy systems can be used for sustainable management and demonstrate an understanding of the impact energy has on the local and global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enhanced ability to evaluate primary research and advanced scholarship and apply their understanding to develop original and innovative approaches to sustainable practices in managing energy technology.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formulate research questions using advanced scientific practices and contemporary methods in energy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Management (Energy)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Management (Energy)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Academic, Research and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GG7075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Energy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GG7200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Environmental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Evidence-based Environmental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Participatory Approaches to Solving Environmental Challenges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GG7055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Water Resources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753"/>
        <w:gridCol w:w="416"/>
        <w:gridCol w:w="967"/>
        <w:gridCol w:w="967"/>
        <w:gridCol w:w="967"/>
        <w:gridCol w:w="967"/>
        <w:gridCol w:w="967"/>
        <w:gridCol w:w="967"/>
        <w:gridCol w:w="96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GG7075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GG7045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GG7055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GG7065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GG7060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are in September, January and May</w:t>
      </w:r>
    </w:p>
    <w:tbl>
      <w:tblPr>
        <w:tblCellSpacing w:w="15" w:type="dxa"/>
        <w:tblCellMar>
          <w:top w:w="15" w:type="dxa"/>
          <w:left w:w="15" w:type="dxa"/>
          <w:bottom w:w="15" w:type="dxa"/>
          <w:right w:w="15" w:type="dxa"/>
        </w:tblCellMar>
      </w:tblPr>
      <w:tblGrid>
        <w:gridCol w:w="7277"/>
      </w:tblGrid>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Academic, Research and Professional Practice SPAN (TB2-TB1)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Energy Management TB2</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Water Resources Management TB2</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Environmental Management TB2</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Evidence-based Environmental Management 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Participatory Approaches to Solving Environmental Challenges 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Research project TB1</w:t>
            </w:r>
          </w:p>
          <w:p w:rsidRPr="2030048C" w:rsidP="2030048C">
            <w:pPr>
              <w:bidi w:val="0"/>
              <w:rPr>
                <w:rFonts w:ascii="Arial" w:eastAsia="Arial" w:hAnsi="Arial" w:cs="Arial"/>
                <w:sz w:val="24"/>
                <w:szCs w:val="24"/>
              </w:rPr>
            </w:pPr>
            <w:r w:rsidRPr="2030048C">
              <w:rPr>
                <w:rFonts w:ascii="Arial" w:eastAsia="Arial" w:hAnsi="Arial" w:cs="Arial"/>
                <w:sz w:val="24"/>
                <w:szCs w:val="24"/>
              </w:rPr>
              <w:t>May intake</w:t>
            </w:r>
          </w:p>
          <w:tbl>
            <w:tblPr>
              <w:tblCellSpacing w:w="15" w:type="dxa"/>
              <w:tblCellMar>
                <w:top w:w="15" w:type="dxa"/>
                <w:left w:w="15" w:type="dxa"/>
                <w:bottom w:w="15" w:type="dxa"/>
                <w:right w:w="15" w:type="dxa"/>
              </w:tblCellMar>
            </w:tblPr>
            <w:tblGrid>
              <w:gridCol w:w="7207"/>
            </w:tblGrid>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Academic, Research and Professional Practice SPAN TB3-TB1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Energy Management TB3</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Water Resources Management TB3</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Environmental Management TB3</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Evidence-based Environmental Management 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Participatory Approaches to Solving Environmental Challenges 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Research project TB1</w:t>
                  </w:r>
                </w:p>
              </w:tc>
            </w:tr>
          </w:tbl>
          <w:p w:rsidRPr="2030048C">
            <w:pPr>
              <w:rPr>
                <w:rFonts w:ascii="Arial" w:eastAsia="Arial" w:hAnsi="Arial" w:cs="Arial"/>
                <w:sz w:val="24"/>
                <w:szCs w:val="24"/>
              </w:rPr>
            </w:pPr>
          </w:p>
        </w:tc>
      </w:tr>
    </w:tbl>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lockText0CxSpMiddle">
    <w:name w:val="MsoBlockText0CxSpMiddle"/>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9FC5973-FA49-49CE-8287-F1A1A3DFA79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