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MA</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Game Development (Design)</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01/01/2012</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16/09/2025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9</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Computer Science and Mathematics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Computer Science</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Game Development (Design)</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PGCert Game Development (Design)</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PGDip Game Development (Design)</w:t>
            </w: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G400/G401</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Game Development (Design)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PGCert Game Development (Design)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PGDip Game Development (Design) with Professional Placement</w:t>
            </w:r>
          </w:p>
          <w:p w:rsidR="72431AC7" w:rsidP="2030048C" w14:textId="7E0F963D">
            <w:pPr>
              <w:rPr>
                <w:rFonts w:ascii="Arial" w:eastAsia="Arial" w:hAnsi="Arial" w:cs="Arial"/>
                <w:b w:val="0"/>
                <w:bCs w:val="0"/>
                <w:sz w:val="24"/>
                <w:szCs w:val="24"/>
                <w:lang w:val="en-GB"/>
              </w:rPr>
            </w:pP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i/>
                <w:iCs/>
                <w:color w:val="000000"/>
                <w:sz w:val="24"/>
                <w:szCs w:val="24"/>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p"/>
              <w:shd w:val="clear" w:color="auto" w:fill="FFFFFE"/>
              <w:spacing w:before="0" w:beforeAutospacing="0" w:after="0" w:afterAutospacing="0" w:line="285" w:lineRule="auto"/>
              <w:ind w:left="0" w:right="0"/>
              <w:rPr>
                <w:rStyle w:val="normaltextrun"/>
                <w:rFonts w:ascii="Arial" w:eastAsia="Arial" w:hAnsi="Arial" w:cs="Arial"/>
                <w:b/>
                <w:bCs/>
                <w:color w:val="000000" w:themeColor="text1" w:themeShade="FF" w:themeTint="FF"/>
                <w:sz w:val="22"/>
                <w:szCs w:val="22"/>
              </w:rPr>
            </w:pPr>
          </w:p>
          <w:p w:rsidR="5D711985" w:rsidRPr="158602C4" w:rsidP="158602C4">
            <w:pPr>
              <w:pStyle w:val="p"/>
              <w:shd w:val="clear" w:color="auto" w:fill="FFFFFE"/>
              <w:spacing w:before="0" w:beforeAutospacing="0" w:after="0" w:afterAutospacing="0" w:line="285" w:lineRule="auto"/>
              <w:ind w:left="0" w:right="0"/>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color w:val="000000" w:themeColor="text1" w:themeShade="FF" w:themeTint="FF"/>
                <w:sz w:val="22"/>
                <w:szCs w:val="22"/>
                <w:u w:val="single"/>
              </w:rPr>
              <w:t>Compensation of the project module</w:t>
            </w:r>
          </w:p>
          <w:p w:rsidR="5D711985" w:rsidRPr="158602C4" w:rsidP="158602C4">
            <w:pPr>
              <w:pStyle w:val="p"/>
              <w:shd w:val="clear" w:color="auto" w:fill="FFFFFE"/>
              <w:spacing w:before="0" w:beforeAutospacing="0" w:after="0" w:afterAutospacing="0" w:line="285" w:lineRule="auto"/>
              <w:ind w:left="0" w:right="0"/>
              <w:rPr>
                <w:rStyle w:val="normaltextrun"/>
                <w:rFonts w:ascii="Arial" w:eastAsia="Arial" w:hAnsi="Arial" w:cs="Arial"/>
                <w:b w:val="0"/>
                <w:bCs w:val="0"/>
                <w:color w:val="000000" w:themeColor="text1" w:themeShade="FF" w:themeTint="FF"/>
                <w:sz w:val="22"/>
                <w:szCs w:val="22"/>
              </w:rPr>
            </w:pPr>
          </w:p>
          <w:p w:rsidR="5D711985" w:rsidRPr="158602C4" w:rsidP="158602C4">
            <w:pPr>
              <w:pStyle w:val="p"/>
              <w:shd w:val="clear" w:color="auto" w:fill="FFFFFE"/>
              <w:spacing w:before="0" w:beforeAutospacing="0" w:after="0" w:afterAutospacing="0" w:line="285" w:lineRule="auto"/>
              <w:ind w:left="0" w:right="0"/>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color w:val="000000" w:themeColor="text1" w:themeShade="FF" w:themeTint="FF"/>
                <w:sz w:val="22"/>
                <w:szCs w:val="22"/>
              </w:rPr>
              <w:t>Compensation is not permitted for</w:t>
            </w:r>
            <w:r w:rsidRPr="158602C4">
              <w:rPr>
                <w:rStyle w:val="normaltextrun"/>
                <w:rFonts w:ascii="Arial" w:eastAsia="Arial" w:hAnsi="Arial" w:cs="Arial"/>
                <w:b w:val="0"/>
                <w:bCs w:val="0"/>
                <w:color w:val="000000" w:themeColor="text1" w:themeShade="FF" w:themeTint="FF"/>
                <w:sz w:val="22"/>
                <w:szCs w:val="22"/>
              </w:rPr>
              <w:t xml:space="preserve"> the following module</w:t>
            </w:r>
            <w:r w:rsidRPr="158602C4">
              <w:rPr>
                <w:rStyle w:val="normaltextrun"/>
                <w:rFonts w:ascii="Arial" w:eastAsia="Arial" w:hAnsi="Arial" w:cs="Arial"/>
                <w:b w:val="0"/>
                <w:bCs w:val="0"/>
                <w:color w:val="000000" w:themeColor="text1" w:themeShade="FF" w:themeTint="FF"/>
                <w:sz w:val="22"/>
                <w:szCs w:val="22"/>
              </w:rPr>
              <w:t>:</w:t>
            </w:r>
          </w:p>
          <w:p w:rsidR="5D711985" w:rsidRPr="158602C4" w:rsidP="158602C4">
            <w:pPr>
              <w:pStyle w:val="li"/>
              <w:widowControl w:val="0"/>
              <w:numPr>
                <w:ilvl w:val="0"/>
                <w:numId w:val="12"/>
              </w:numPr>
              <w:pBdr>
                <w:left w:val="none" w:sz="0" w:space="7" w:color="auto"/>
              </w:pBdr>
              <w:shd w:val="clear" w:color="auto" w:fill="FFFFFE"/>
              <w:spacing w:before="0" w:beforeAutospacing="0" w:after="0" w:afterAutospacing="0" w:line="285" w:lineRule="auto"/>
              <w:ind w:left="720" w:right="0" w:hanging="519"/>
              <w:jc w:val="left"/>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color w:val="000000" w:themeColor="text1" w:themeShade="FF" w:themeTint="FF"/>
                <w:sz w:val="22"/>
                <w:szCs w:val="22"/>
              </w:rPr>
              <w:t>CI6300 Individual Project</w:t>
            </w:r>
          </w:p>
          <w:p w:rsidR="5D711985" w:rsidRPr="158602C4" w:rsidP="158602C4">
            <w:pPr>
              <w:pStyle w:val="p"/>
              <w:widowControl w:val="0"/>
              <w:shd w:val="clear" w:color="auto" w:fill="FFFFFE"/>
              <w:spacing w:before="0" w:beforeAutospacing="0" w:after="0" w:afterAutospacing="0" w:line="285" w:lineRule="auto"/>
              <w:ind w:left="0" w:right="0"/>
              <w:rPr>
                <w:rStyle w:val="normaltextrun"/>
                <w:rFonts w:ascii="Arial" w:eastAsia="Arial" w:hAnsi="Arial" w:cs="Arial"/>
                <w:b w:val="0"/>
                <w:bCs w:val="0"/>
                <w:color w:val="000000" w:themeColor="text1" w:themeShade="FF" w:themeTint="FF"/>
                <w:sz w:val="22"/>
                <w:szCs w:val="22"/>
              </w:rPr>
            </w:pPr>
          </w:p>
          <w:p w:rsidR="5D711985" w:rsidRPr="158602C4" w:rsidP="158602C4">
            <w:pPr>
              <w:pStyle w:val="p"/>
              <w:shd w:val="clear" w:color="auto" w:fill="FFFFFE"/>
              <w:spacing w:before="0" w:beforeAutospacing="0" w:after="0" w:afterAutospacing="0" w:line="285" w:lineRule="auto"/>
              <w:ind w:left="0" w:right="0"/>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color w:val="000000" w:themeColor="text1" w:themeShade="FF" w:themeTint="FF"/>
                <w:sz w:val="22"/>
                <w:szCs w:val="22"/>
              </w:rPr>
              <w:t xml:space="preserve">Reassessment </w:t>
            </w:r>
            <w:r w:rsidRPr="158602C4">
              <w:rPr>
                <w:rStyle w:val="normaltextrun"/>
                <w:rFonts w:ascii="Arial" w:eastAsia="Arial" w:hAnsi="Arial" w:cs="Arial"/>
                <w:b w:val="0"/>
                <w:bCs w:val="0"/>
                <w:color w:val="000000" w:themeColor="text1" w:themeShade="FF" w:themeTint="FF"/>
                <w:sz w:val="22"/>
                <w:szCs w:val="22"/>
              </w:rPr>
              <w:t>following failure of the first attempt</w:t>
            </w:r>
            <w:r w:rsidRPr="158602C4">
              <w:rPr>
                <w:rStyle w:val="normaltextrun"/>
                <w:rFonts w:ascii="Arial" w:eastAsia="Arial" w:hAnsi="Arial" w:cs="Arial"/>
                <w:b w:val="0"/>
                <w:bCs w:val="0"/>
                <w:color w:val="000000" w:themeColor="text1" w:themeShade="FF" w:themeTint="FF"/>
                <w:sz w:val="22"/>
                <w:szCs w:val="22"/>
              </w:rPr>
              <w:t xml:space="preserve"> will normally be</w:t>
            </w:r>
            <w:r w:rsidRPr="158602C4">
              <w:rPr>
                <w:rStyle w:val="normaltextrun"/>
                <w:rFonts w:ascii="Arial" w:eastAsia="Arial" w:hAnsi="Arial" w:cs="Arial"/>
                <w:b w:val="0"/>
                <w:bCs w:val="0"/>
                <w:color w:val="000000" w:themeColor="text1" w:themeShade="FF" w:themeTint="FF"/>
                <w:sz w:val="22"/>
                <w:szCs w:val="22"/>
              </w:rPr>
              <w:t>:</w:t>
            </w:r>
            <w:r w:rsidRPr="158602C4">
              <w:rPr>
                <w:rStyle w:val="normaltextrun"/>
                <w:rFonts w:ascii="Arial" w:eastAsia="Arial" w:hAnsi="Arial" w:cs="Arial"/>
                <w:b w:val="0"/>
                <w:bCs w:val="0"/>
                <w:color w:val="000000" w:themeColor="text1" w:themeShade="FF" w:themeTint="FF"/>
                <w:sz w:val="22"/>
                <w:szCs w:val="22"/>
              </w:rPr>
              <w:t xml:space="preserve"> </w:t>
            </w:r>
          </w:p>
          <w:p w:rsidR="5D711985" w:rsidRPr="158602C4" w:rsidP="158602C4">
            <w:pPr>
              <w:pStyle w:val="li"/>
              <w:widowControl w:val="0"/>
              <w:numPr>
                <w:ilvl w:val="0"/>
                <w:numId w:val="13"/>
              </w:numPr>
              <w:pBdr>
                <w:left w:val="none" w:sz="0" w:space="7" w:color="auto"/>
              </w:pBdr>
              <w:shd w:val="clear" w:color="auto" w:fill="FFFFFE"/>
              <w:spacing w:before="0" w:beforeAutospacing="0" w:after="0" w:afterAutospacing="0" w:line="285" w:lineRule="auto"/>
              <w:ind w:left="720" w:right="0" w:hanging="519"/>
              <w:jc w:val="left"/>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color w:val="000000" w:themeColor="text1" w:themeShade="FF" w:themeTint="FF"/>
                <w:sz w:val="22"/>
                <w:szCs w:val="22"/>
              </w:rPr>
              <w:t>by retake to improve the dissertation for marginal failure (G</w:t>
            </w:r>
            <w:r w:rsidRPr="158602C4">
              <w:rPr>
                <w:rStyle w:val="normaltextrun"/>
                <w:rFonts w:ascii="Arial" w:eastAsia="Arial" w:hAnsi="Arial" w:cs="Arial"/>
                <w:b w:val="0"/>
                <w:bCs w:val="0"/>
                <w:color w:val="000000" w:themeColor="text1" w:themeShade="FF" w:themeTint="FF"/>
                <w:sz w:val="22"/>
                <w:szCs w:val="22"/>
              </w:rPr>
              <w:t>rade F5 or marks of 35-39) and the mark will be capped</w:t>
            </w:r>
          </w:p>
          <w:p w:rsidR="5D711985" w:rsidRPr="158602C4" w:rsidP="158602C4">
            <w:pPr>
              <w:pStyle w:val="li"/>
              <w:widowControl w:val="0"/>
              <w:numPr>
                <w:ilvl w:val="0"/>
                <w:numId w:val="13"/>
              </w:numPr>
              <w:pBdr>
                <w:left w:val="none" w:sz="0" w:space="7" w:color="auto"/>
              </w:pBdr>
              <w:shd w:val="clear" w:color="auto" w:fill="FFFFFE"/>
              <w:spacing w:before="0" w:beforeAutospacing="0" w:after="0" w:afterAutospacing="0" w:line="285" w:lineRule="auto"/>
              <w:ind w:left="720" w:right="0" w:hanging="510"/>
              <w:jc w:val="left"/>
              <w:rPr>
                <w:rStyle w:val="normaltextrun"/>
                <w:rFonts w:ascii="Times New Roman" w:eastAsia="Times New Roman" w:hAnsi="Times New Roman" w:cs="Times New Roman"/>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2"/>
                <w:szCs w:val="22"/>
              </w:rPr>
              <w:t xml:space="preserve">or </w:t>
            </w:r>
            <w:r w:rsidRPr="158602C4">
              <w:rPr>
                <w:rStyle w:val="normaltextrun"/>
                <w:rFonts w:ascii="Arial" w:eastAsia="Arial" w:hAnsi="Arial" w:cs="Arial"/>
                <w:b w:val="0"/>
                <w:bCs w:val="0"/>
                <w:color w:val="000000" w:themeColor="text1" w:themeShade="FF" w:themeTint="FF"/>
                <w:sz w:val="22"/>
                <w:szCs w:val="22"/>
              </w:rPr>
              <w:t xml:space="preserve">by repeat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0"/>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i/>
          <w:iCs/>
          <w:color w:val="000000" w:themeColor="text1"/>
          <w:sz w:val="24"/>
          <w:szCs w:val="24"/>
          <w:shd w:val="clear" w:color="auto" w:fill="FFFFFF"/>
        </w:rPr>
        <w:t> </w:t>
      </w:r>
    </w:p>
    <w:p w:rsidRPr="2030048C" w:rsidP="2030048C">
      <w:pPr>
        <w:pStyle w:val="paragraph0CxSpFirst"/>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The significant aspect of study on this course is its articulation with other taught Masters courses as part of Digital Media Kingston (DMK), a Post Graduate Micro-Studio that offers PlayStation/Next Gen games development alongside computer animation and user experience design. This provides an integrated learning environment where students can develop their media specialist practice as part of a community engaged in interdisciplinary collaborative innovation.    </w:t>
      </w:r>
    </w:p>
    <w:p w:rsidRPr="2030048C" w:rsidP="2030048C">
      <w:pPr>
        <w:pStyle w:val="paragraph0CxSpMiddle"/>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The Masters in Game Development encourages students to devise and participate in projects where they can develop as a games programmer or games designer whilst emphasising research informed industry focussed practice. Each subject pathway provides an intensive period of study that is made up of both course-specific modules and shared core modules within DMKs Postgraduate Framework. Our goal is to help students develop the critical thinking and the understanding of interdisciplinarity that will underpin their practice in the future. </w:t>
      </w:r>
    </w:p>
    <w:p w:rsidRPr="2030048C" w:rsidP="2030048C">
      <w:pPr>
        <w:pStyle w:val="paragraph0CxSpMiddle"/>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The skills and knowledge gained will provide students with a firm foundation from which to undertake digital media research and are a platform for their personal and professional development in the practice of game development. It provides both a progression point towards the MA and MSc and is also an exit point from the course. Both the MA and MSc builds on the skills, knowledge and understanding acquired earlier in the Postgraduate Diploma phase and applies these in the creation of an original, digital media practical research project. The programme acknowledges students’ previous experience and that their study will continue to develop their personal approach to media practice. This will enable them to prepare for future employment or to engage in the extension of their study at Doctoral level. </w:t>
      </w:r>
    </w:p>
    <w:p w:rsidRPr="2030048C" w:rsidP="2030048C">
      <w:pPr>
        <w:pStyle w:val="paragraph0CxSpMiddle"/>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The Masters Programme is offered in both full time and part time modes. The School has an excellent and proud history of employment both in large international companies and in UK based small and medium sized (SME) industries. The curriculum is backed by the research undertaken within the School. In addition it is informed by the School’s Industrial Advisory Panel.  </w:t>
      </w:r>
    </w:p>
    <w:p w:rsidRPr="2030048C" w:rsidP="2030048C">
      <w:pPr>
        <w:pStyle w:val="paragraph0CxSpLast"/>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Game Development is one of the programmes within a suite of degrees being created as part of the Digital Media Kingston (DMK). The DMK brings together people with expertise in computer animation, games design, game development, user interfaces and other areas relating to digital media thus creating a rich environment where arts and computing students have the opportunity to work together. Considerable emphasis is placed on practical laboratory-based workshops and project work using specialist equipment. The software and hardware has been selected to be relevant to industry, such as the development on the same games consoles/development kit which would be used by professional games coders. Each of the pathways of Game Development is aligned to an industry role.</w:t>
      </w:r>
    </w:p>
    <w:p w:rsidRPr="2030048C" w:rsidP="2030048C">
      <w:pPr>
        <w:pStyle w:val="p0CxSpFirst"/>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sz w:val="22"/>
          <w:szCs w:val="22"/>
          <w:shd w:val="clear" w:color="auto" w:fill="FFFFFF"/>
        </w:rPr>
        <w:t xml:space="preserve">MA in Game Development (Design) focuses upon </w:t>
      </w:r>
      <w:r w:rsidRPr="2030048C">
        <w:rPr>
          <w:rStyle w:val="normaltextrun"/>
          <w:rFonts w:ascii="Arial" w:hAnsi="Arial" w:cs="Arial"/>
          <w:color w:val="000000"/>
          <w:sz w:val="22"/>
          <w:szCs w:val="22"/>
          <w:shd w:val="clear" w:color="auto" w:fill="FFFFFF"/>
        </w:rPr>
        <w:t>the design and development of 2D and 3D computer games using industry standard tools and practices. Students will be able to design for a number of platforms including games consoles, PCs and mobile devices. The course covers the principles, practices and processes of games design.</w:t>
      </w:r>
    </w:p>
    <w:p w:rsidRPr="2030048C" w:rsidP="2030048C">
      <w:pPr>
        <w:pStyle w:val="p0CxSpMiddle"/>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Optional: Each of the pathways is offered with a Professional Placement. This option is to spend an additional year in industry as part of the course. The placement year is a 10 to 12 months period with 30-40 working hours per week with no more than 60 days ‘inactivity’. The placement must be in a company and the work must be relevant to the degree. It could be either in the UK or abroad and has to be approved by the Faculty. The professional placement route is for full time students and is not available to January starters.</w:t>
      </w:r>
    </w:p>
    <w:p w:rsidRPr="2030048C" w:rsidP="2030048C">
      <w:pPr>
        <w:pStyle w:val="p0CxSpLast"/>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Finding the placement is the responsibility of the individual students. If students do not find a suitable placement they will be switched onto the non-placement course.</w:t>
      </w:r>
    </w:p>
    <w:p w:rsidRPr="2030048C" w:rsidP="2030048C">
      <w:pPr>
        <w:pStyle w:val="MediumGrid1-Accent21"/>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cell"/>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The Aims of the Course are to: </w:t>
      </w:r>
    </w:p>
    <w:p w:rsidRPr="2030048C" w:rsidP="2030048C">
      <w:pPr>
        <w:pStyle w:val="MediumGrid1-Accent21"/>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4"/>
        </w:numPr>
        <w:ind w:left="1275"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Equip students with the capability to use and employ tools, frameworks, models and rules relevant to game development;</w:t>
      </w:r>
    </w:p>
    <w:p w:rsidRPr="2030048C" w:rsidP="2030048C">
      <w:pPr>
        <w:pStyle w:val="ListParagraph"/>
        <w:numPr>
          <w:ilvl w:val="0"/>
          <w:numId w:val="14"/>
        </w:numPr>
        <w:ind w:left="1275"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Enhance a student’s job performance and enable him/her to contribute effectively to the knowledge base of the employer;</w:t>
      </w:r>
    </w:p>
    <w:p w:rsidRPr="2030048C" w:rsidP="2030048C">
      <w:pPr>
        <w:pStyle w:val="ListParagraph"/>
        <w:numPr>
          <w:ilvl w:val="0"/>
          <w:numId w:val="14"/>
        </w:numPr>
        <w:ind w:left="1275"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Give students the means to explore in detail the analysis, design and evaluation of computer games;</w:t>
      </w:r>
    </w:p>
    <w:p w:rsidRPr="2030048C" w:rsidP="2030048C">
      <w:pPr>
        <w:pStyle w:val="ListParagraph"/>
        <w:numPr>
          <w:ilvl w:val="0"/>
          <w:numId w:val="15"/>
        </w:numPr>
        <w:ind w:left="1275"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Develop an enquiring, analytical and creative approach to both personal and professional activities that leads to the critical and responsible use of informed and independent judgement.</w:t>
      </w:r>
    </w:p>
    <w:p w:rsidRPr="2030048C" w:rsidP="2030048C">
      <w:pPr>
        <w:pStyle w:val="ListParagraph"/>
        <w:numPr>
          <w:ilvl w:val="0"/>
          <w:numId w:val="16"/>
        </w:numPr>
        <w:ind w:left="1275"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Gain a solid foundation in this specialist area, adding to and integrating, the knowledge and skills gained from each student’s individual educational background and work experience;</w:t>
      </w:r>
    </w:p>
    <w:p w:rsidRPr="2030048C" w:rsidP="2030048C">
      <w:pPr>
        <w:pStyle w:val="ListParagraph"/>
        <w:numPr>
          <w:ilvl w:val="0"/>
          <w:numId w:val="16"/>
        </w:numPr>
        <w:ind w:left="1275"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Explore disciplinary boundaries, resolve value conflicts and bridge gaps in knowledge with arguments from first principle and activity at the forefront of best practice.</w:t>
      </w:r>
    </w:p>
    <w:p w:rsidRPr="2030048C" w:rsidP="2030048C">
      <w:pPr>
        <w:pStyle w:val="ListParagraph"/>
        <w:numPr>
          <w:ilvl w:val="0"/>
          <w:numId w:val="16"/>
        </w:numPr>
        <w:ind w:left="1830" w:hanging="915"/>
        <w:jc w:val="both"/>
        <w:rPr>
          <w:rStyle w:val="normaltextrun"/>
          <w:rFonts w:ascii="Arial" w:hAnsi="Arial" w:cs="Arial"/>
          <w:color w:val="000000" w:themeColor="text1"/>
          <w:sz w:val="24"/>
          <w:szCs w:val="24"/>
          <w:shd w:val="clear" w:color="auto" w:fill="FFFFFF"/>
        </w:rPr>
      </w:pPr>
    </w:p>
    <w:p w:rsidRPr="2030048C" w:rsidP="2030048C">
      <w:pPr>
        <w:pStyle w:val="ListParagraph"/>
        <w:numPr>
          <w:ilvl w:val="1"/>
          <w:numId w:val="16"/>
        </w:numPr>
        <w:ind w:left="255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Apply specialised knowledge and skills, and conduct reflexive, critical and collaborative practice, to the design and development of innovative media-rich computer games</w:t>
      </w:r>
    </w:p>
    <w:p w:rsidRPr="2030048C" w:rsidP="2030048C">
      <w:pPr>
        <w:pStyle w:val="ListParagraph"/>
        <w:numPr>
          <w:ilvl w:val="1"/>
          <w:numId w:val="16"/>
        </w:numPr>
        <w:ind w:left="255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Develop students’ reflexive, critical and cross-disciplinary practice with particular regard to games design.</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knowledge in a professional context, including understanding of their professional development and the structure of the placement organisation (With Professional Placement Only)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analyse and evaluate research in games development. Identify contemporary issues;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select, adapt/extend and use effectively a wide range of methods, tools and techniques for games development;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select, use and recommend the tools and technologies necessary for games development;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assess and select the tools and methods necessary to solve a games-related problem;</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develop and use games prototypes and mock-ups;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discuss the computer games industry itself. This includes ethical, legal and professional issues and the games production process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synthesise information from diverse disciplines and application domains;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create games which incorporate advanced digital media (text, graphics, audio and video);</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game theory and design methodologies in relation to practical processes and production involved in games development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report on their work critically in written format, at meetings, or by formal oral presentation;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apply scientific theories, frameworks, models and design guidelines to all stages of games development.  Includes research material</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knowledge in a professional context, including understanding of their professional development and the structure of the placement organisation (With Professional Placement Only)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learn independently, think logically and critically demonstrate a systematic approach to problem-analysis and to finding solutions.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make real and rationalise innovative computer games that satisfy a range of user-centred criteria (aesthetically pleasing, easy to use, productive, entertaining).</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relevant game theory and design methodologies to a games implementation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relate academic theory to practice, develop and practise key personal and employability skills and show examples of the application of these skills (With Professional Placement Only)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pStyle w:val="p"/>
        <w:jc w:val="both"/>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 xml:space="preserve">This course is part of the University’s Postgraduate Regulations (PR).  Courses in the PR are made up of modules that are designated at level 7.  Single taught modules in the courses are valued at 30 credits and the course contains a project that has 60 credits.  The minimum requirement for a Postgraduate Certificate is 60 credits, for a Postgraduate Diploma 120 credits and a Masters Degree 180 credits. </w:t>
      </w:r>
    </w:p>
    <w:p w:rsidRPr="2030048C" w:rsidP="2030048C">
      <w:pPr>
        <w:pStyle w:val="p"/>
        <w:jc w:val="both"/>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 xml:space="preserve">The course offers the PG Certificate as an exit award only and is based on the student passing any coherent subset of the taught modules.  </w:t>
      </w:r>
    </w:p>
    <w:p w:rsidRPr="2030048C" w:rsidP="2030048C">
      <w:pPr>
        <w:pStyle w:val="p"/>
        <w:jc w:val="both"/>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The awards available are detailed in section A and the requirements are outlined below.  All students will be provided with the PR regulations in the student handbook.</w:t>
      </w:r>
    </w:p>
    <w:p w:rsidRPr="2030048C" w:rsidP="2030048C">
      <w:pPr>
        <w:pStyle w:val="p"/>
        <w:jc w:val="both"/>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The Courses are offered as 1 year full-time, and normally 2-3 years part-time. The course design fully considers all student groups.  Delivery of modules is either by two 1-week blocks separated by several weeks, or full-day sessions spread over a teaching block.  Overseas students are also able to complete their degree within VISA limitations.</w:t>
      </w:r>
    </w:p>
    <w:p w:rsidRPr="2030048C" w:rsidP="2030048C">
      <w:pPr>
        <w:pStyle w:val="p"/>
        <w:jc w:val="both"/>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 xml:space="preserve">Full-time students will complete the programme of study and assessment in 52 weeks.  The normal study pattern for part-time students is that they should complete 4 modules over a two to three year period and complete their project within the same period.  Because of the structure of the course, part-time students may be able to commence the course at different times during the academic year after discussion with the Course Leader of relevant issues, including the need for specific preparatory study. </w:t>
      </w:r>
    </w:p>
    <w:p w:rsidRPr="2030048C" w:rsidP="2030048C">
      <w:pPr>
        <w:pStyle w:val="p"/>
        <w:jc w:val="both"/>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Normally, each module will include approximately 60 hours contact time, followed by directed learning resulting in a total of 300 hours of student effort.  The project is the equivalent of two modules and requires 600 hours of student effort.</w:t>
      </w:r>
    </w:p>
    <w:p w:rsidRPr="2030048C" w:rsidP="2030048C">
      <w:pPr>
        <w:pStyle w:val="p"/>
        <w:jc w:val="both"/>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A January intake is accommodated by ensuring that two technical modules are delivered in the Spring semester.  This ensures that all students, including January starters can complete the individual project in the summer without disadvantage.</w:t>
      </w:r>
    </w:p>
    <w:p w:rsidRPr="2030048C" w:rsidP="2030048C">
      <w:pPr>
        <w:pStyle w:val="p"/>
        <w:jc w:val="both"/>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To address advanced ethics and professional issues, these issues are addressed within the context of technical core modules taken before the project is conducted, specifically, within Digital Studio Practice, Media Specialist Practice and the Individual Project.</w:t>
      </w:r>
    </w:p>
    <w:p w:rsidRPr="2030048C" w:rsidP="2030048C">
      <w:pPr>
        <w:pStyle w:val="p"/>
        <w:jc w:val="both"/>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To prevent assessment bunching and over assessment, there is a planning meeting at the beginning of teaching blocks 1 and 2.</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MA</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Game Development (Design)</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MA</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Game Development (Design)</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 xml:space="preserve"> Digital Studio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CI7810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Connected Games Development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CI7825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Game Design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CI7870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User Experience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CI7801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672489F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A6D3DC" w14:textId="5B39F523">
            <w:pPr>
              <w:rPr>
                <w:rFonts w:ascii="Arial" w:eastAsia="Arial" w:hAnsi="Arial" w:cs="Arial"/>
                <w:sz w:val="24"/>
                <w:szCs w:val="24"/>
              </w:rPr>
            </w:pPr>
            <w:r w:rsidRPr="7AD52F4D" w:rsidR="0B91E765">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C1ED397" w14:textId="2A8659F8">
            <w:pPr>
              <w:jc w:val="center"/>
              <w:rPr>
                <w:rFonts w:ascii="Arial" w:eastAsia="Arial" w:hAnsi="Arial" w:cs="Arial"/>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5562862" w14:textId="1FDDCB01">
            <w:pPr>
              <w:jc w:val="center"/>
              <w:rPr>
                <w:rFonts w:ascii="Arial" w:eastAsia="Arial" w:hAnsi="Arial" w:cs="Arial"/>
                <w:sz w:val="24"/>
                <w:szCs w:val="24"/>
              </w:rPr>
            </w:pP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B1BC58" w14:textId="7115D7A1">
            <w:pPr>
              <w:jc w:val="center"/>
              <w:rPr>
                <w:rFonts w:ascii="Arial" w:eastAsia="Arial" w:hAnsi="Arial" w:cs="Arial"/>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200B506" w14:textId="51CB6F90">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3C8E7A" w14:textId="4565A23F">
            <w:pPr>
              <w:jc w:val="center"/>
              <w:rPr>
                <w:rFonts w:ascii="Arial" w:eastAsia="Arial" w:hAnsi="Arial" w:cs="Arial"/>
                <w:sz w:val="24"/>
                <w:szCs w:val="24"/>
              </w:rPr>
            </w:pP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E06BCF8" w14:textId="3C0EB01E">
            <w:pPr>
              <w:jc w:val="center"/>
              <w:rPr>
                <w:rFonts w:ascii="Arial" w:eastAsia="Arial" w:hAnsi="Arial" w:cs="Arial"/>
                <w:sz w:val="24"/>
                <w:szCs w:val="24"/>
              </w:rPr>
            </w:pP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7CFB8B" w14:textId="694F06F4">
            <w:pPr>
              <w:jc w:val="center"/>
              <w:rPr>
                <w:rFonts w:ascii="Arial" w:eastAsia="Arial" w:hAnsi="Arial" w:cs="Arial"/>
                <w:sz w:val="24"/>
                <w:szCs w:val="24"/>
              </w:rPr>
            </w:pPr>
          </w:p>
        </w:tc>
      </w:tr>
      <w:tr w14:paraId="21361E9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F842BDD" w14:textId="6D42EEE4">
            <w:pPr>
              <w:rPr>
                <w:rFonts w:ascii="Arial" w:eastAsia="Arial" w:hAnsi="Arial" w:cs="Arial"/>
                <w:sz w:val="24"/>
                <w:szCs w:val="24"/>
                <w:lang w:val="en-GB"/>
              </w:rPr>
            </w:pPr>
            <w:r w:rsidRPr="2030048C" w:rsidR="073AEBF5">
              <w:rPr>
                <w:rFonts w:ascii="Arial" w:eastAsia="Arial" w:hAnsi="Arial" w:cs="Arial"/>
                <w:sz w:val="24"/>
                <w:szCs w:val="24"/>
                <w:lang w:val="en-GB"/>
              </w:rPr>
              <w:t>Character Animation for Film and Games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BC3B1EF"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CI7880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05ABF21"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0310B5"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8700E5A"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BB382F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2FD2BF9"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2FB572B5" w14:textId="0AA1A43D">
            <w:pPr>
              <w:jc w:val="center"/>
              <w:rPr>
                <w:rFonts w:ascii="Arial" w:eastAsia="Arial" w:hAnsi="Arial" w:cs="Arial"/>
                <w:sz w:val="24"/>
                <w:szCs w:val="24"/>
              </w:rPr>
            </w:pPr>
            <w:r w:rsidRPr="7AD52F4D" w:rsidR="073AEBF5">
              <w:rPr>
                <w:rFonts w:ascii="Arial" w:eastAsia="Arial" w:hAnsi="Arial" w:cs="Arial"/>
                <w:sz w:val="24"/>
                <w:szCs w:val="24"/>
              </w:rPr>
              <w:t>2</w:t>
            </w:r>
          </w:p>
        </w:tc>
      </w:tr>
      <w:tr w14:paraId="21361EA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Design Thinking Theory and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CI7831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2</w:t>
            </w:r>
          </w:p>
        </w:tc>
      </w:tr>
      <w:tr w14:paraId="21361EA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CI7900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3</w:t>
            </w: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r w:rsidRPr="2030048C">
        <w:rPr>
          <w:rStyle w:val="normaltextrun"/>
          <w:rFonts w:ascii="Arial" w:eastAsia="Arial" w:hAnsi="Arial" w:cs="Arial"/>
          <w:i/>
          <w:iCs/>
          <w:color w:val="C00000"/>
          <w:sz w:val="24"/>
          <w:szCs w:val="24"/>
        </w:rPr>
        <w:t>.</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MA</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Game Development (Design) with Professional Placement</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 </w:t>
      </w:r>
    </w:p>
    <w:p w:rsidR="3D0EBCB8" w:rsidRPr="2030048C" w:rsidP="2030048C">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could include: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5"/>
        <w:gridCol w:w="367"/>
        <w:gridCol w:w="835"/>
        <w:gridCol w:w="835"/>
        <w:gridCol w:w="835"/>
        <w:gridCol w:w="83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CI7810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CI7825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CI7870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CI7801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multilevel"/>
    <w:tmpl w:val="74989B0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li">
    <w:name w:val="li"/>
    <w:basedOn w:val="Normal"/>
  </w:style>
  <w:style w:type="paragraph" w:customStyle="1" w:styleId="ListParagraph0">
    <w:name w:val="ListParagraph"/>
    <w:basedOn w:val="ListParagraph"/>
  </w:style>
  <w:style w:type="paragraph" w:customStyle="1" w:styleId="paragraph0CxSpFirst">
    <w:name w:val="paragraph0CxSpFirst"/>
    <w:basedOn w:val="ListParagraph"/>
  </w:style>
  <w:style w:type="paragraph" w:customStyle="1" w:styleId="paragraph0CxSpMiddle">
    <w:name w:val="paragraph0CxSpMiddle"/>
    <w:basedOn w:val="ListParagraph"/>
  </w:style>
  <w:style w:type="paragraph" w:customStyle="1" w:styleId="paragraph0CxSpLast">
    <w:name w:val="paragraph0CxSpLast"/>
    <w:basedOn w:val="ListParagraph"/>
  </w:style>
  <w:style w:type="paragraph" w:customStyle="1" w:styleId="p0CxSpFirst">
    <w:name w:val="p0CxSpFirst"/>
    <w:basedOn w:val="ListParagraph"/>
  </w:style>
  <w:style w:type="paragraph" w:customStyle="1" w:styleId="p0CxSpMiddle">
    <w:name w:val="p0CxSpMiddle"/>
    <w:basedOn w:val="ListParagraph"/>
  </w:style>
  <w:style w:type="paragraph" w:customStyle="1" w:styleId="p0CxSpLast">
    <w:name w:val="p0CxSpLast"/>
    <w:basedOn w:val="ListParagraph"/>
  </w:style>
  <w:style w:type="paragraph" w:customStyle="1" w:styleId="MediumGrid1-Accent21">
    <w:name w:val="MediumGrid1-Accent21"/>
    <w:basedOn w:val="ListParagraph"/>
  </w:style>
  <w:style w:type="paragraph" w:customStyle="1" w:styleId="cell">
    <w:name w:val="cell"/>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B92C3FE5-D784-4B59-B939-2A12A3206DCF}"/>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