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Computer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UPCSC1CSC30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UFCSC1CSC20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G400 (3 year full time)G401 (4 year sandwich)G403 (4 year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UFCSC1CSC55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USCSC1CSC45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Computer Science with Foundation Year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of modules:</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is permitted in at most 30 credits across the programme, excluding the CI6600 Individual Project module. A module other that CI6600, with a grade of F5 (35-39) can be compensated for a PC grade by at least 90 credits passed at that level.</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CxSpFirst"/>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Computer Science course is to produce highly trained graduates with specialist technical knowledge and scientific mind set, capable of solving real world problems, are driven by passion, sustainability and wider socio-technical implications are considered at all levels.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required knowledge, skills and attitudes to practice as computing professionals in both industry and commerce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equipped to meet the academic, professional and practical requirements for membership of appropriate professional bodies such as the British Computer Society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are aware of the actual and potential range of information and computer-based systems and of the ways in which these interact with their material, human, organizational and social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possess the appropriate ability and inclination, and are equipped, to undertake advanced studies and/or research and development in the computing and information systems disciplines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inquisitive and reflective attitude when modelling systems and understands the functional and qualitative properties of systems.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evaluate and predict security, performance and efficiency associated system properties and their context dependencies.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understand and can articulate the legal, ethical, social, cultural and public aspects of problems and solutions.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capacity to acquire new knowledge and skills independently; reflect on trends in the computing domain and their actions are demonstrative of a creative contribution.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different project management approaches commonly used in the IT industry and select, modify or construct one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approaches, patterns and/or paradigms,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design and prototype human/computer interfaces using HCI and UX theory and best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different ways in which data and information may be represented, stored and transmitted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 user experience, aesthetics and technical practicalities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software solutions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security issues and evaluate risk for the safe operation of computing and information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manage, implement and deliver IT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apply essential concepts, theories, principles and practices of computer science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disparate and potentially incomplete sources to model and build systems, documents and other related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where appropriate, modify) established systems, software development methods, techniques and tools to model and build computer based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social, ethical, legal, commercial and other human factors that affect the design, development, deployment of computer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evaluate the extent to which a system meets the criteria for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critically evaluate specifications for specialist computer systems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b/>
          <w:bCs/>
          <w:color w:val="000000" w:themeColor="text1" w:themeShade="FF" w:themeTint="FF"/>
          <w:sz w:val="24"/>
          <w:szCs w:val="24"/>
        </w:rPr>
        <w:t xml:space="preserve">Students on the Foundation Year route </w:t>
      </w:r>
      <w:r w:rsidRPr="2030048C">
        <w:rPr>
          <w:rFonts w:ascii="Arial" w:eastAsia="Arial" w:hAnsi="Arial" w:cs="Arial"/>
          <w:color w:val="000000" w:themeColor="text1" w:themeShade="FF" w:themeTint="FF"/>
          <w:sz w:val="24"/>
          <w:szCs w:val="24"/>
        </w:rPr>
        <w:t>should refer to the Foundation Year in Computing programme specifications for details of the 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Requirements Analysis and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including passes in the above 4 modules. Students exiting the programme at this point who have successfully completed 120 credits are eligible for the award of Certificate of Higher Education in Computer Science.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Computer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CI5999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Networking Concepts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Programming II - Software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User Centered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120 credits at level 5. Students exiting the programme at this point who have successfully completed 240 credits are eligible for the award of Diploma of Higher Education in Computer Science.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b/>
          <w:bCs/>
          <w:color w:val="000000" w:themeColor="text1" w:themeShade="FF" w:themeTint="FF"/>
          <w:sz w:val="24"/>
          <w:szCs w:val="24"/>
        </w:rPr>
        <w:t>Placement Module</w:t>
      </w: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sandwich route take the module CI5999 Industrial Placement.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Computer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Data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CI5210</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Mobile Application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Programming III – Patterns and Algorithms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CI5105</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CI5330</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Computer Science with Foundation Year and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87"/>
        <w:gridCol w:w="290"/>
        <w:gridCol w:w="660"/>
        <w:gridCol w:w="660"/>
        <w:gridCol w:w="660"/>
        <w:gridCol w:w="660"/>
        <w:gridCol w:w="660"/>
        <w:gridCol w:w="660"/>
        <w:gridCol w:w="660"/>
        <w:gridCol w:w="660"/>
        <w:gridCol w:w="660"/>
        <w:gridCol w:w="660"/>
        <w:gridCol w:w="7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CI5320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CI6416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CxSpFirst">
    <w:name w:val="ListParagraphCxSpFirs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D3B3A71-C726-4119-92B1-54D57E0389A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