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Pre-Masters Programme (PMP)</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Business and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31/03/2020</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31/08/2021</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 London International Study Centre (“KULISC”) – Study Group</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Pre-Masters Programme (PMP)</w:t>
            </w:r>
            <w:r w:rsidRPr="01DA1EA0">
              <w:rPr>
                <w:rFonts w:ascii="Arial" w:hAnsi="Arial" w:cs="Arial"/>
                <w:sz w:val="22"/>
                <w:szCs w:val="22"/>
              </w:rPr>
              <w:t xml:space="preserve"> </w:t>
            </w:r>
            <w:r w:rsidRPr="01DA1EA0">
              <w:rPr>
                <w:rFonts w:ascii="Arial" w:hAnsi="Arial" w:cs="Arial"/>
                <w:sz w:val="22"/>
                <w:szCs w:val="22"/>
              </w:rPr>
              <w:t>Business and Management</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N/A</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 London International Study Centre (“KULISC”) – Study Group</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University, Stable Block, Kingston Hill Campus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 xml:space="preserve">One term, minimum of 12 weeks, for the 12 weeks programme </w:t>
            </w:r>
          </w:p>
          <w:p w:rsidP="00E561A2">
            <w:pPr>
              <w:pStyle w:val="paragraph"/>
              <w:spacing w:before="0" w:beforeAutospacing="0" w:after="0" w:afterAutospacing="0"/>
              <w:textAlignment w:val="baseline"/>
              <w:rPr>
                <w:rStyle w:val="normaltextrun"/>
                <w:rFonts w:ascii="Arial" w:eastAsia="Calibri" w:hAnsi="Arial" w:cs="Arial"/>
                <w:color w:val="000000"/>
                <w:sz w:val="22"/>
                <w:szCs w:val="22"/>
              </w:rPr>
            </w:pPr>
          </w:p>
          <w:p w:rsidP="00E561A2">
            <w:pPr>
              <w:pStyle w:val="paragraph"/>
              <w:spacing w:before="0" w:beforeAutospacing="0" w:after="0" w:afterAutospacing="0"/>
              <w:textAlignment w:val="baseline"/>
              <w:rPr>
                <w:rStyle w:val="normaltextrun"/>
                <w:rFonts w:ascii="Arial" w:eastAsia="Calibri" w:hAnsi="Arial" w:cs="Arial"/>
                <w:color w:val="000000"/>
                <w:sz w:val="22"/>
                <w:szCs w:val="22"/>
              </w:rPr>
            </w:pPr>
            <w:r>
              <w:rPr>
                <w:rStyle w:val="normaltextrun"/>
                <w:rFonts w:ascii="Arial" w:eastAsia="Calibri" w:hAnsi="Arial" w:cs="Arial"/>
                <w:color w:val="000000"/>
                <w:sz w:val="22"/>
                <w:szCs w:val="22"/>
              </w:rPr>
              <w:t>Two terms, minimum of 20 weeks, for the 20 weeks programme</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Two terms, maximum of 20 weeks, for the 12 weeks programme Three terms, maximum of 30 weeks, for the 20 weeks programme</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u w:val="single"/>
                <w:shd w:val="clear" w:color="auto" w:fill="FFFFFF"/>
              </w:rPr>
              <w:t>One term – 12 weeks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Academic IELTS for UKVI 6.0 overall (minimum 5.5 in all skills) (Equivalencies accepted)</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u w:val="single"/>
                <w:shd w:val="clear" w:color="auto" w:fill="FFFFFF"/>
              </w:rPr>
              <w:t>Two term</w:t>
            </w:r>
            <w:r>
              <w:rPr>
                <w:rStyle w:val="normaltextrun"/>
                <w:rFonts w:ascii="Arial" w:hAnsi="Arial" w:cs="Arial"/>
                <w:color w:val="000000"/>
                <w:sz w:val="22"/>
                <w:szCs w:val="22"/>
                <w:u w:val="single"/>
                <w:shd w:val="clear" w:color="auto" w:fill="FFFFFF"/>
              </w:rPr>
              <w:t>s</w:t>
            </w:r>
            <w:r>
              <w:rPr>
                <w:rStyle w:val="normaltextrun"/>
                <w:rFonts w:ascii="Arial" w:hAnsi="Arial" w:cs="Arial"/>
                <w:color w:val="000000"/>
                <w:sz w:val="22"/>
                <w:szCs w:val="22"/>
                <w:u w:val="single"/>
                <w:shd w:val="clear" w:color="auto" w:fill="FFFFFF"/>
              </w:rPr>
              <w:t xml:space="preserve"> – 20 weeks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IELTS 5.5 overall (in all components)</w:t>
            </w:r>
            <w:r>
              <w:rPr>
                <w:rStyle w:val="normaltextrun"/>
                <w:rFonts w:ascii="Arial" w:hAnsi="Arial" w:cs="Arial"/>
                <w:color w:val="000000"/>
                <w:sz w:val="22"/>
                <w:szCs w:val="22"/>
                <w:shd w:val="clear" w:color="auto" w:fill="FFFFFF"/>
              </w:rPr>
              <w:t xml:space="preserv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Typical entry qualifications set for applicants to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Qualifying first degree from an overseas institution in a related subject area.</w:t>
            </w:r>
          </w:p>
          <w:p w:rsidP="0BF386EB">
            <w:pPr>
              <w:pStyle w:val="ListParagraph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Market-specific HE qualifications normally equivalent to at least a 2.2, as agreed with Kingston University.</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Applications may be considered on a case by case basis from students with qualifications not listed above, and/or with substantial, relevant work experience and/or advanced levels of English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i/>
                <w:iCs/>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720" w:right="0" w:hanging="36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1)</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9" w:history="1">
              <w:r>
                <w:rPr>
                  <w:rStyle w:val="normaltextrun"/>
                  <w:rFonts w:ascii="Arial" w:eastAsia="Arial" w:hAnsi="Arial" w:cs="Arial"/>
                  <w:color w:val="0000FF"/>
                  <w:sz w:val="22"/>
                  <w:szCs w:val="22"/>
                  <w:u w:val="single" w:color="0000FF"/>
                  <w:shd w:val="clear" w:color="auto" w:fill="FFFFFF"/>
                </w:rPr>
                <w:t xml:space="preserve">Quality Assurance Agency (November 2019) Subject </w:t>
              </w:r>
              <w:r>
                <w:rPr>
                  <w:rStyle w:val="normaltextrun"/>
                  <w:rFonts w:ascii="Arial" w:eastAsia="Arial" w:hAnsi="Arial" w:cs="Arial"/>
                  <w:color w:val="0000FF"/>
                  <w:sz w:val="22"/>
                  <w:szCs w:val="22"/>
                  <w:u w:val="single" w:color="0000FF"/>
                  <w:shd w:val="clear" w:color="auto" w:fill="FFFFFF"/>
                </w:rPr>
                <w:t>Benchmark Statement: Business and Management</w:t>
              </w:r>
            </w:hyperlink>
          </w:p>
          <w:p w:rsidP="0BF386EB">
            <w:pPr>
              <w:pStyle w:val="p"/>
              <w:spacing w:before="0" w:after="0"/>
              <w:ind w:left="720" w:right="0"/>
              <w:jc w:val="both"/>
              <w:rPr>
                <w:rStyle w:val="normaltextrun"/>
                <w:rFonts w:ascii="Arial" w:eastAsia="Arial" w:hAnsi="Arial" w:cs="Arial"/>
                <w:color w:val="000000"/>
                <w:sz w:val="22"/>
                <w:szCs w:val="22"/>
                <w:shd w:val="clear" w:color="auto" w:fill="FFFFFF"/>
              </w:rPr>
            </w:pPr>
          </w:p>
          <w:p w:rsidP="0BF386EB">
            <w:pPr>
              <w:pStyle w:val="p"/>
              <w:spacing w:before="0" w:after="0"/>
              <w:ind w:left="720" w:right="0" w:hanging="36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2)</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10" w:history="1">
              <w:r>
                <w:rPr>
                  <w:rStyle w:val="normaltextrun"/>
                  <w:rFonts w:ascii="Arial" w:eastAsia="Arial" w:hAnsi="Arial" w:cs="Arial"/>
                  <w:color w:val="0000FF"/>
                  <w:sz w:val="22"/>
                  <w:szCs w:val="22"/>
                  <w:u w:val="single" w:color="0000FF"/>
                  <w:shd w:val="clear" w:color="auto" w:fill="FFFFFF"/>
                </w:rPr>
                <w:t>Quality Assurance Agency (June 2015) Subject Benchmark Statement Master's Degrees in Business and Management</w:t>
              </w:r>
            </w:hyperlink>
            <w:r>
              <w:rPr>
                <w:rStyle w:val="normaltextrun"/>
                <w:rFonts w:ascii="Arial" w:eastAsia="Arial" w:hAnsi="Arial" w:cs="Arial"/>
                <w:color w:val="000000"/>
                <w:sz w:val="22"/>
                <w:szCs w:val="22"/>
                <w:shd w:val="clear" w:color="auto" w:fill="FFFFFF"/>
              </w:rPr>
              <w:t xml:space="preserve"> </w:t>
            </w:r>
          </w:p>
          <w:p w:rsidP="0BF386EB">
            <w:pPr>
              <w:pStyle w:val="p"/>
              <w:spacing w:before="0" w:after="0"/>
              <w:ind w:left="720" w:right="0"/>
              <w:jc w:val="both"/>
              <w:rPr>
                <w:rStyle w:val="normaltextrun"/>
                <w:rFonts w:ascii="Arial" w:eastAsia="Arial" w:hAnsi="Arial" w:cs="Arial"/>
                <w:color w:val="000000"/>
                <w:sz w:val="22"/>
                <w:szCs w:val="22"/>
                <w:shd w:val="clear" w:color="auto" w:fill="FFFFFF"/>
              </w:rPr>
            </w:pPr>
          </w:p>
          <w:p w:rsidP="0BF386EB">
            <w:pPr>
              <w:pStyle w:val="p"/>
              <w:spacing w:before="0" w:after="0"/>
              <w:ind w:left="720" w:right="0" w:hanging="36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3)</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11" w:history="1">
              <w:r>
                <w:rPr>
                  <w:rStyle w:val="normaltextrun"/>
                  <w:rFonts w:ascii="Arial" w:eastAsia="Arial" w:hAnsi="Arial" w:cs="Arial"/>
                  <w:color w:val="0000FF"/>
                  <w:sz w:val="22"/>
                  <w:szCs w:val="22"/>
                  <w:u w:val="single" w:color="0000FF"/>
                  <w:shd w:val="clear" w:color="auto" w:fill="FFFFFF"/>
                </w:rPr>
                <w:t>Quality Assurance Agency (July 2015) Subject Benchmark Statement UK Quality Code for Higher Education Part A: Setting and maintaining academic standards Economics</w:t>
              </w:r>
            </w:hyperlink>
            <w:r>
              <w:rPr>
                <w:rStyle w:val="normaltextrun"/>
                <w:rFonts w:ascii="Arial" w:eastAsia="Arial" w:hAnsi="Arial" w:cs="Arial"/>
                <w:color w:val="000000"/>
                <w:sz w:val="22"/>
                <w:szCs w:val="22"/>
                <w:shd w:val="clear" w:color="auto" w:fill="FFFFFF"/>
              </w:rPr>
              <w:t xml:space="preserve"> </w:t>
            </w:r>
          </w:p>
          <w:p w:rsidP="0BF386EB">
            <w:pPr>
              <w:pStyle w:val="p"/>
              <w:spacing w:before="0" w:after="0"/>
              <w:ind w:left="720" w:right="0"/>
              <w:jc w:val="both"/>
              <w:rPr>
                <w:rStyle w:val="normaltextrun"/>
                <w:rFonts w:ascii="Arial" w:eastAsia="Arial" w:hAnsi="Arial" w:cs="Arial"/>
                <w:color w:val="000000"/>
                <w:sz w:val="22"/>
                <w:szCs w:val="22"/>
                <w:shd w:val="clear" w:color="auto" w:fill="FFFFFF"/>
              </w:rPr>
            </w:pPr>
          </w:p>
          <w:p w:rsidP="0BF386EB">
            <w:pPr>
              <w:pStyle w:val="p"/>
              <w:spacing w:before="0" w:after="0"/>
              <w:ind w:left="720" w:right="0" w:hanging="36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4)</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12" w:history="1">
              <w:r>
                <w:rPr>
                  <w:rStyle w:val="normaltextrun"/>
                  <w:rFonts w:ascii="Arial" w:eastAsia="Arial" w:hAnsi="Arial" w:cs="Arial"/>
                  <w:color w:val="0000FF"/>
                  <w:sz w:val="22"/>
                  <w:szCs w:val="22"/>
                  <w:u w:val="single" w:color="0000FF"/>
                  <w:shd w:val="clear" w:color="auto" w:fill="FFFFFF"/>
                </w:rPr>
                <w:t>Quality Assurance Agency (October 2014: page 26) UK Quality Code for Higher Education Part A: Setting and Maintaining Academic Standards PART A - The Frameworks for Higher Education Qualifications of UK Degree-Awarding Bodies</w:t>
              </w:r>
            </w:hyperlink>
            <w:r>
              <w:rPr>
                <w:rStyle w:val="normaltextrun"/>
                <w:rFonts w:ascii="Arial" w:eastAsia="Arial" w:hAnsi="Arial" w:cs="Arial"/>
                <w:color w:val="000000"/>
                <w:sz w:val="22"/>
                <w:szCs w:val="22"/>
                <w:shd w:val="clear" w:color="auto" w:fill="FFFFFF"/>
              </w:rPr>
              <w:t xml:space="preserve"> </w:t>
            </w:r>
          </w:p>
          <w:p w:rsidP="0BF386EB">
            <w:pPr>
              <w:pStyle w:val="ListParagraph00"/>
              <w:spacing w:before="0" w:after="0"/>
              <w:ind w:left="720" w:right="0"/>
              <w:jc w:val="both"/>
              <w:rPr>
                <w:rStyle w:val="normaltextrun"/>
                <w:rFonts w:ascii="Arial" w:eastAsia="Arial" w:hAnsi="Arial" w:cs="Arial"/>
                <w:color w:val="000000"/>
                <w:sz w:val="22"/>
                <w:szCs w:val="22"/>
                <w:shd w:val="clear" w:color="auto" w:fill="FFFFFF"/>
              </w:rPr>
            </w:pPr>
          </w:p>
          <w:p w:rsidP="0BF386EB">
            <w:pPr>
              <w:pStyle w:val="ListParagraph00"/>
              <w:spacing w:before="0" w:after="0"/>
              <w:ind w:left="720" w:right="0" w:hanging="360"/>
              <w:jc w:val="both"/>
              <w:rPr>
                <w:rStyle w:val="normaltextrun"/>
                <w:rFonts w:ascii="Calibri" w:eastAsia="Calibri" w:hAnsi="Calibri" w:cs="Calibri"/>
                <w:color w:val="000000"/>
                <w:sz w:val="22"/>
                <w:szCs w:val="22"/>
                <w:shd w:val="clear" w:color="auto" w:fill="FFFFFF"/>
              </w:rPr>
            </w:pPr>
            <w:r>
              <w:rPr>
                <w:rStyle w:val="normaltextrun"/>
                <w:rFonts w:ascii="Arial" w:eastAsia="Arial" w:hAnsi="Arial" w:cs="Arial"/>
                <w:color w:val="000000"/>
                <w:sz w:val="22"/>
                <w:szCs w:val="22"/>
                <w:shd w:val="clear" w:color="auto" w:fill="FFFFFF"/>
              </w:rPr>
              <w:t>5)</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13" w:history="1">
              <w:r>
                <w:rPr>
                  <w:rStyle w:val="Hyperlink0"/>
                  <w:rFonts w:ascii="Arial" w:eastAsia="Arial" w:hAnsi="Arial" w:cs="Arial"/>
                  <w:color w:val="0000FF"/>
                  <w:sz w:val="22"/>
                  <w:szCs w:val="22"/>
                  <w:u w:val="single" w:color="0000FF"/>
                  <w:shd w:val="clear" w:color="auto" w:fill="FFFFFF"/>
                </w:rPr>
                <w:t>Quality Assurance Agency (August 2008) Higher education credit framework for England: guidance on academic credit arrangements in higher education in England</w:t>
              </w:r>
            </w:hyperlink>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i/>
          <w:iCs/>
          <w:color w:val="000000" w:themeColor="text1"/>
          <w:shd w:val="clear" w:color="auto" w:fill="FFFFFF"/>
        </w:rPr>
        <w:t> </w:t>
      </w:r>
    </w:p>
    <w:p w:rsidRPr="007C4290" w:rsidP="00A92C9B">
      <w:pPr>
        <w:pStyle w:val="ListParagraph0"/>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This</w:t>
      </w:r>
      <w:r w:rsidRPr="007C4290">
        <w:rPr>
          <w:rStyle w:val="normaltextrun"/>
          <w:rFonts w:ascii="Arial" w:hAnsi="Arial" w:cs="Arial"/>
          <w:color w:val="000000" w:themeColor="text1"/>
          <w:shd w:val="clear" w:color="auto" w:fill="FFFFFF"/>
        </w:rPr>
        <w:t xml:space="preserve"> programme</w:t>
      </w:r>
      <w:r w:rsidRPr="007C4290">
        <w:rPr>
          <w:rStyle w:val="normaltextrun"/>
          <w:rFonts w:ascii="Arial" w:hAnsi="Arial" w:cs="Arial"/>
          <w:color w:val="000000" w:themeColor="text1"/>
          <w:shd w:val="clear" w:color="auto" w:fill="FFFFFF"/>
        </w:rPr>
        <w:t xml:space="preserve"> aims to:</w:t>
      </w:r>
    </w:p>
    <w:p w:rsidRPr="007C4290" w:rsidP="00A92C9B">
      <w:pPr>
        <w:pStyle w:val="ListParagraph0"/>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Prepare students for postgraduate study at Masters</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level by introducing them to fundamental principles and conc</w:t>
      </w:r>
      <w:r w:rsidRPr="007C4290">
        <w:rPr>
          <w:rStyle w:val="normaltextrun"/>
          <w:rFonts w:ascii="Arial" w:hAnsi="Arial" w:cs="Arial"/>
          <w:color w:val="000000" w:themeColor="text1"/>
          <w:shd w:val="clear" w:color="auto" w:fill="FFFFFF"/>
        </w:rPr>
        <w:t>epts of business and management;</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students’ English language skills</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Expose students to current trends in the 21</w:t>
      </w:r>
      <w:r w:rsidRPr="007C4290">
        <w:rPr>
          <w:rStyle w:val="normaltextrun"/>
          <w:rFonts w:ascii="Arial" w:hAnsi="Arial" w:cs="Arial"/>
          <w:color w:val="000000" w:themeColor="text1"/>
          <w:sz w:val="15"/>
          <w:szCs w:val="15"/>
          <w:shd w:val="clear" w:color="auto" w:fill="FFFFFF"/>
        </w:rPr>
        <w:t>st</w:t>
      </w:r>
      <w:r w:rsidRPr="007C4290">
        <w:rPr>
          <w:rStyle w:val="normaltextrun"/>
          <w:rFonts w:ascii="Arial" w:hAnsi="Arial" w:cs="Arial"/>
          <w:color w:val="000000" w:themeColor="text1"/>
          <w:shd w:val="clear" w:color="auto" w:fill="FFFFFF"/>
        </w:rPr>
        <w:t xml:space="preserve"> century business environment</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students to develop appropriate research, presentation, problem-solving and critical analysis skills needed for academic success at Masters’ level;</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Deepen students’ understanding of project management techniques and how to successfully manage project from inception to comp</w:t>
      </w:r>
      <w:r w:rsidRPr="007C4290">
        <w:rPr>
          <w:rStyle w:val="normaltextrun"/>
          <w:rFonts w:ascii="Arial" w:hAnsi="Arial" w:cs="Arial"/>
          <w:color w:val="000000" w:themeColor="text1"/>
          <w:shd w:val="clear" w:color="auto" w:fill="FFFFFF"/>
        </w:rPr>
        <w:t>letion;</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Enhance students’ ability to apply knowledge and understanding to real world situations;</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introduce and prepare students for a range of assessment methods that will demonstrate students readiness for the demands of studying at Master’s </w:t>
      </w:r>
      <w:r w:rsidRPr="007C4290">
        <w:rPr>
          <w:rStyle w:val="normaltextrun"/>
          <w:rFonts w:ascii="Arial" w:hAnsi="Arial" w:cs="Arial"/>
          <w:color w:val="000000" w:themeColor="text1"/>
          <w:shd w:val="clear" w:color="auto" w:fill="FFFFFF"/>
        </w:rPr>
        <w:t>level.</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Enhance students’ personal effectiveness and transferable skills through the nurturing of strong interpersonal and employability skills;</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enhance students’ capacity to think critically and independently in terms of events, to drive innovative and creative ideas from global perspectives;</w:t>
      </w:r>
    </w:p>
    <w:p w:rsidRPr="007C4290" w:rsidP="00A92C9B">
      <w:pPr>
        <w:pStyle w:val="ListParagraph"/>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Pre-Masters Programme in Business and Management is offered with two course lengths; a 20 week, and 12 weeks with higher entry requirements. Each course length has its own set of modules that have been designed to reflect the different lengths and entry requirements. The Pre-Masters Programme has been especially designed to support students wishing to progress to a taught Master’s degree programme at Kingston University, who narrowly missed achieving the entry requirements for direct entry. The programme has been designed and structured to help international students acculturate and attain the levels of academic English language, critical thinking, reading, and research skills needed to study at Master’s level at Kingston University. The programme aims to refine a range of intellectual skills: such as an ability to identify and apply theories, concepts and ideas and/or collect and analyse data in order to critically evaluate arguments, data, relevant issues and challenges, by building on the knowledge gained and academic skills acquired in students’ prior studies. In addition to enhancing students’ academic knowledge and understanding, the Pre-Masters Programme will nurture in students the practical, employability and transferable skills, such as the ability to work both independently and in co-operation with others, to deploy a range of communication and information technology skills, and to reflect upon and take responsibility for own learning, needed for postgraduate study at Kingston University and later in employment.</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The Pre-Masters Programme has been designed in collaboration with Kingston University to create course-specific content that will prepare students for progression to relevant postgraduate degree programmes and to avoid repetition in content delivery. This thorough and careful process of module development, in partnership with academics, ensures the programme proposed contains the right level of intellectual challenge and academic rigour.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Qualified students with a need to improve their overall English level, or those who might wish to convert from other fields of study or seek to orientate themselves towards the study approach and methods of the UK system of higher education are well suited to the Pre-Masters Programme. It can also cater as a qualifying programme allowing students who might not be accepted directly by Kingston University with their baseline qualifications; such students are able to use the Pre-Masters Programme to demonstrate that they have the intellectual ability and academic skills to study for a Masters at Kingston University.</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Students successfully completing the Programme have the opportunity to gain admission to specified and relevant postgraduate taught degree courses at Kingston University. To achieve this outcome students have to meet or exceed progression requirements and conditions agreed with Kingston University, and to satisfy, as required, the entry regulations of any relevant professional, </w:t>
      </w:r>
      <w:r w:rsidRPr="007C4290">
        <w:rPr>
          <w:rStyle w:val="normaltextrun"/>
          <w:rFonts w:ascii="Arial" w:hAnsi="Arial" w:cs="Arial"/>
          <w:color w:val="000000" w:themeColor="text1"/>
          <w:shd w:val="clear" w:color="auto" w:fill="FFFFFF"/>
        </w:rPr>
        <w:t>statutory,</w:t>
      </w:r>
      <w:r w:rsidRPr="007C4290">
        <w:rPr>
          <w:rStyle w:val="normaltextrun"/>
          <w:rFonts w:ascii="Arial" w:hAnsi="Arial" w:cs="Arial"/>
          <w:color w:val="000000" w:themeColor="text1"/>
          <w:shd w:val="clear" w:color="auto" w:fill="FFFFFF"/>
        </w:rPr>
        <w:t xml:space="preserve"> and regulatory bodies (PSRBs).</w:t>
      </w:r>
    </w:p>
    <w:p w:rsidRPr="007C4290" w:rsidP="00A92C9B">
      <w:pPr>
        <w:pStyle w:val="ListParagraph0"/>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relevant QAA subject benchmarks indicated</w:t>
      </w:r>
      <w:r w:rsidRPr="007C4290">
        <w:rPr>
          <w:rStyle w:val="normaltextrun"/>
          <w:rFonts w:ascii="Arial" w:hAnsi="Arial" w:cs="Arial"/>
          <w:color w:val="FF0000"/>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and the Framework</w:t>
      </w:r>
      <w:r w:rsidRPr="007C4290">
        <w:rPr>
          <w:rStyle w:val="normaltextrun"/>
          <w:rFonts w:ascii="Arial" w:hAnsi="Arial" w:cs="Arial"/>
          <w:color w:val="000000" w:themeColor="text1"/>
          <w:sz w:val="22"/>
          <w:szCs w:val="22"/>
          <w:shd w:val="clear" w:color="auto" w:fill="FFFFFF"/>
        </w:rPr>
        <w:t>s</w:t>
      </w:r>
      <w:r w:rsidRPr="007C4290">
        <w:rPr>
          <w:rStyle w:val="normaltextrun"/>
          <w:rFonts w:ascii="Arial" w:hAnsi="Arial" w:cs="Arial"/>
          <w:color w:val="000000" w:themeColor="text1"/>
          <w:sz w:val="22"/>
          <w:szCs w:val="22"/>
          <w:shd w:val="clear" w:color="auto" w:fill="FFFFFF"/>
        </w:rPr>
        <w:t xml:space="preserve"> for Higher Education Qualifications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of UK Degree-Awarding Bodies</w:t>
      </w:r>
      <w:r w:rsidRPr="007C4290">
        <w:rPr>
          <w:rStyle w:val="normaltextrun"/>
          <w:rFonts w:ascii="Arial" w:hAnsi="Arial" w:cs="Arial"/>
          <w:color w:val="000000" w:themeColor="text1"/>
          <w:sz w:val="22"/>
          <w:szCs w:val="22"/>
          <w:shd w:val="clear" w:color="auto" w:fill="FFFFFF"/>
        </w:rPr>
        <w:t xml:space="preserve"> (2014), and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course provides opportunities for students to develop and demonstrate knowledge and understanding specific to the subject, key skills and graduate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4">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5"/>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List the stages of the project management life cycle and explain the strategies adopted by organisations at each stage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Apply business theories and models to real world business situations indicating the risk factors to the organisation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Critically review evidence from a range of sources and clearly communicate ideas using a variety of media to present findings,following acceptable academic referencing and writing standards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Define basic business concepts such as organisational culture, centralisation, decentralisation, organisational hierarchy and span of control among others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Distinguish between the components of the internal, external and global organisational environments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intercultural skills to effectively work in a team, take responsibility for group action and reflect on outcomes to enhance own performance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Outline business and management theories and their application to current business practise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project management strategies and appropriate ethical considerations for business organisations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Using appropriate software, collect numerical data on business performance from different sources to solve a given problem</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Describe data collection techniques and identify appropriate research methods for business and management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the principles that underpin innovation in business and their effectiveness in contemporary society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Become an independent learner, confidently use the VLE including other information technology to manage own learning and creatively respond to change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Explain the relevance of project management to organisational performance and its relationship to other business disciplines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Conduct qualitative and quantitative data analysis using software such as NVIVO, SPSS and Excel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Prepare and present business data in a clear and consistent manner in line with academic conventions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pStyle w:val="p"/>
        <w:spacing w:before="0" w:after="0"/>
        <w:ind w:left="0" w:right="0"/>
        <w:jc w:val="both"/>
        <w:rPr>
          <w:rFonts w:ascii="Arial" w:eastAsia="Arial" w:hAnsi="Arial" w:cs="Arial"/>
          <w:i/>
          <w:iCs/>
          <w:color w:val="000000" w:themeColor="text1"/>
          <w:sz w:val="22"/>
          <w:szCs w:val="22"/>
        </w:rPr>
      </w:pPr>
    </w:p>
    <w:p w:rsidRPr="66934EB1" w:rsidP="66934EB1">
      <w:pPr>
        <w:pStyle w:val="p"/>
        <w:spacing w:before="0" w:after="0"/>
        <w:ind w:left="0" w:right="0"/>
        <w:jc w:val="both"/>
        <w:rPr>
          <w:rFonts w:ascii="Times New Roman" w:eastAsia="Times New Roman" w:hAnsi="Times New Roman" w:cs="Times New Roman"/>
          <w:color w:val="000000" w:themeColor="text1"/>
          <w:sz w:val="22"/>
          <w:szCs w:val="22"/>
        </w:rPr>
      </w:pPr>
      <w:r w:rsidRPr="66934EB1">
        <w:rPr>
          <w:rFonts w:ascii="Arial" w:eastAsia="Arial" w:hAnsi="Arial" w:cs="Arial"/>
          <w:color w:val="000000" w:themeColor="text1"/>
          <w:sz w:val="22"/>
          <w:szCs w:val="22"/>
        </w:rPr>
        <w:t>The Pre-Masters Programme in Business and Management consists of four core modules which are all subject-specific. It is expected that all students must complete all modules. The programme is delivered over a period of either 12 weeks or 20 weeks. Details of each of these are provided in the tables below.</w:t>
      </w:r>
    </w:p>
    <w:p w:rsidRPr="66934EB1" w:rsidP="66934EB1">
      <w:pPr>
        <w:pStyle w:val="p"/>
        <w:spacing w:before="0" w:after="0"/>
        <w:ind w:left="0" w:right="0"/>
        <w:jc w:val="both"/>
        <w:rPr>
          <w:rFonts w:ascii="Arial" w:eastAsia="Arial" w:hAnsi="Arial" w:cs="Arial"/>
          <w:color w:val="000000" w:themeColor="text1"/>
          <w:sz w:val="22"/>
          <w:szCs w:val="22"/>
        </w:rPr>
      </w:pPr>
    </w:p>
    <w:p w:rsidRPr="66934EB1" w:rsidP="66934EB1">
      <w:pPr>
        <w:pStyle w:val="p"/>
        <w:spacing w:before="0" w:after="0"/>
        <w:ind w:left="0" w:right="0"/>
        <w:jc w:val="both"/>
        <w:rPr>
          <w:rFonts w:ascii="Times New Roman" w:eastAsia="Times New Roman" w:hAnsi="Times New Roman" w:cs="Times New Roman"/>
          <w:color w:val="000000" w:themeColor="text1"/>
          <w:sz w:val="22"/>
          <w:szCs w:val="22"/>
        </w:rPr>
      </w:pPr>
      <w:r w:rsidRPr="66934EB1">
        <w:rPr>
          <w:rFonts w:ascii="Arial" w:eastAsia="Arial" w:hAnsi="Arial" w:cs="Arial"/>
          <w:color w:val="000000" w:themeColor="text1"/>
          <w:sz w:val="22"/>
          <w:szCs w:val="22"/>
        </w:rPr>
        <w:t>Full details of each module will be provided in the module descriptors and student module guides/handbooks.</w:t>
      </w:r>
    </w:p>
    <w:p w:rsidRPr="66934EB1" w:rsidP="66934EB1">
      <w:pPr>
        <w:pStyle w:val="p"/>
        <w:spacing w:before="0" w:after="0"/>
        <w:ind w:left="0" w:right="0"/>
        <w:jc w:val="both"/>
        <w:rPr>
          <w:rFonts w:ascii="Arial" w:eastAsia="Arial" w:hAnsi="Arial" w:cs="Arial"/>
          <w:color w:val="000000" w:themeColor="text1"/>
          <w:sz w:val="22"/>
          <w:szCs w:val="22"/>
        </w:rPr>
      </w:pPr>
    </w:p>
    <w:p w:rsidRPr="66934EB1" w:rsidP="66934EB1">
      <w:pPr>
        <w:pStyle w:val="p"/>
        <w:spacing w:before="0" w:after="0"/>
        <w:ind w:left="0" w:right="0"/>
        <w:jc w:val="both"/>
        <w:rPr>
          <w:rFonts w:ascii="Times New Roman" w:eastAsia="Times New Roman" w:hAnsi="Times New Roman" w:cs="Times New Roman"/>
          <w:color w:val="000000" w:themeColor="text1"/>
          <w:sz w:val="22"/>
          <w:szCs w:val="22"/>
        </w:rPr>
      </w:pPr>
      <w:r w:rsidRPr="66934EB1">
        <w:rPr>
          <w:rFonts w:ascii="Arial" w:eastAsia="Arial" w:hAnsi="Arial" w:cs="Arial"/>
          <w:color w:val="000000" w:themeColor="text1"/>
          <w:sz w:val="22"/>
          <w:szCs w:val="22"/>
          <w:u w:val="single"/>
        </w:rPr>
        <w:t>20 Week (Two term)</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Pre-Masters Programme (PMP)</w:t>
      </w:r>
      <w:r w:rsidRPr="66934EB1">
        <w:rPr>
          <w:rFonts w:ascii="Calibri Light" w:eastAsia="Calibri Light" w:hAnsi="Calibri Light" w:cs="Calibri Light"/>
        </w:rPr>
        <w:t xml:space="preserve"> </w:t>
      </w:r>
      <w:r w:rsidRPr="66934EB1">
        <w:rPr>
          <w:rFonts w:ascii="Calibri Light" w:eastAsia="Calibri Light" w:hAnsi="Calibri Light" w:cs="Calibri Light"/>
        </w:rPr>
        <w:t>Business and Management</w:t>
      </w:r>
    </w:p>
    <w:p w:rsidR="008B5CAF" w:rsidRPr="008B5CAF" w:rsidP="008B5CAF" w14:paraId="22073769" w14:textId="77777777">
      <w:pPr>
        <w:rPr>
          <w:rFonts w:eastAsia="Arial"/>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Pre-Masters Programme (PMP)</w:t>
            </w:r>
            <w:r w:rsidRPr="66934EB1">
              <w:rPr>
                <w:rFonts w:ascii="Arial" w:eastAsia="Arial" w:hAnsi="Arial" w:cs="Arial"/>
                <w:b/>
                <w:bCs/>
              </w:rPr>
              <w:t xml:space="preserve"> </w:t>
            </w:r>
            <w:r w:rsidRPr="66934EB1">
              <w:rPr>
                <w:rFonts w:ascii="Arial" w:eastAsia="Arial" w:hAnsi="Arial" w:cs="Arial"/>
                <w:b/>
                <w:bCs/>
              </w:rPr>
              <w:t>Business and Management</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Advanced Research Methods in Business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XS6012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Advanced Research Methods in Business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Contemporary Business Issues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Contemporary Business Issues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5B32202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Introduction to Project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Introduction to Project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5B3220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Pre-Master’s Academic English Skills_20 weeks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bl>
    <w:p w:rsidR="66934EB1" w:rsidP="66934EB1" w14:paraId="5E579705" w14:textId="27B3119C">
      <w:pPr>
        <w:rPr>
          <w:rFonts w:ascii="Arial" w:eastAsia="Arial" w:hAnsi="Arial" w:cs="Arial"/>
          <w:color w:val="000000" w:themeColor="text1"/>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xml:space="preserve">All modules are core modules at FHEQ Level 6.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FF0000"/>
          <w:sz w:val="20"/>
          <w:szCs w:val="20"/>
        </w:rPr>
        <w:t>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FF0000"/>
          <w:sz w:val="20"/>
          <w:szCs w:val="20"/>
        </w:rPr>
        <w:t> </w:t>
      </w:r>
    </w:p>
    <w:p w:rsidR="035B6837" w:rsidP="66934EB1" w14:textId="2F8716AA">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b/>
          <w:bCs/>
          <w:sz w:val="22"/>
          <w:szCs w:val="22"/>
        </w:rPr>
        <w:t> </w:t>
      </w:r>
    </w:p>
    <w:p w:rsidRPr="503DC450" w:rsidP="007D20BC">
      <w:pPr>
        <w:jc w:val="both"/>
        <w:rPr>
          <w:rFonts w:ascii="Arial" w:hAnsi="Arial" w:cs="Arial"/>
          <w:sz w:val="22"/>
          <w:szCs w:val="22"/>
        </w:rPr>
      </w:pPr>
      <w:r w:rsidRPr="503DC450">
        <w:rPr>
          <w:rFonts w:ascii="Arial" w:hAnsi="Arial" w:cs="Arial"/>
          <w:sz w:val="22"/>
          <w:szCs w:val="22"/>
        </w:rPr>
        <w:t>Recognition is given to the fact that students have come to the ISC from a wide range of academic and cultural backgrounds worldwide. Throughout their studies on the Pre-Master’s Programme, from the Induction Programme onwards, significant emphasis is placed on the importance of explaining to students the style and strengths of the British approach to teaching and learning as key elements in their academic acculturation.</w:t>
      </w:r>
    </w:p>
    <w:p w:rsidRPr="503DC450" w:rsidP="007D20BC">
      <w:pPr>
        <w:ind w:left="360"/>
        <w:jc w:val="both"/>
        <w:rPr>
          <w:rFonts w:ascii="Arial" w:hAnsi="Arial" w:cs="Arial"/>
          <w:sz w:val="22"/>
          <w:szCs w:val="22"/>
        </w:rPr>
      </w:pPr>
      <w:r w:rsidRPr="503DC450">
        <w:rPr>
          <w:rFonts w:ascii="Arial" w:hAnsi="Arial" w:cs="Arial"/>
          <w:b/>
          <w:bCs/>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This programme will utilise a combination of teacher-centred, learner-centred, content-focused and interactive/participative teaching methods. The teacher-centred method will be applicable in traditional lectures where student’s will be provided with information on fundamental concepts and theories of business and management based on the content of the module being taught. Care will therefore be taken to ensure that skilled and knowledgeable tutors who are subject experts will interact with the students on a weekly basis and provide them with in-depth information about the subject area.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VLE has a key role to play in the development and support of teaching, learning and assessment, including helping to facilitate a more independent approach to learning by students.</w:t>
      </w:r>
      <w:r w:rsidRPr="503DC450">
        <w:rPr>
          <w:rFonts w:ascii="Arial" w:hAnsi="Arial" w:cs="Arial"/>
          <w:sz w:val="22"/>
          <w:szCs w:val="22"/>
        </w:rPr>
        <w:t> </w:t>
      </w:r>
      <w:r w:rsidRPr="503DC450">
        <w:rPr>
          <w:rFonts w:ascii="Arial" w:hAnsi="Arial" w:cs="Arial"/>
          <w:sz w:val="22"/>
          <w:szCs w:val="22"/>
        </w:rPr>
        <w:t xml:space="preserve"> Kingston University International Study Centre (“KULISC”) aims to implement Study Group’s own VLE framework, which is itself based on the </w:t>
      </w:r>
      <w:r w:rsidRPr="503DC450">
        <w:rPr>
          <w:rFonts w:ascii="Arial" w:hAnsi="Arial" w:cs="Arial"/>
          <w:sz w:val="22"/>
          <w:szCs w:val="22"/>
        </w:rPr>
        <w:t>Quality Assurance Agency for Higher Education’s</w:t>
      </w:r>
      <w:r w:rsidRPr="503DC450">
        <w:rPr>
          <w:rFonts w:ascii="Arial" w:hAnsi="Arial" w:cs="Arial"/>
          <w:sz w:val="22"/>
          <w:szCs w:val="22"/>
        </w:rPr>
        <w:t xml:space="preserve"> Quality Code (QAA, 2014),</w:t>
      </w:r>
      <w:r w:rsidRPr="503DC450">
        <w:rPr>
          <w:rFonts w:ascii="Arial" w:hAnsi="Arial" w:cs="Arial"/>
          <w:sz w:val="22"/>
          <w:szCs w:val="22"/>
        </w:rPr>
        <w:t> </w:t>
      </w:r>
      <w:r w:rsidRPr="503DC450">
        <w:rPr>
          <w:rFonts w:ascii="Arial" w:hAnsi="Arial" w:cs="Arial"/>
          <w:sz w:val="22"/>
          <w:szCs w:val="22"/>
        </w:rPr>
        <w:t>aimed at enhancing students’ learning experience on the VLE.</w:t>
      </w:r>
      <w:r w:rsidRPr="503DC450">
        <w:rPr>
          <w:rFonts w:ascii="Arial" w:hAnsi="Arial" w:cs="Arial"/>
          <w:sz w:val="22"/>
          <w:szCs w:val="22"/>
        </w:rPr>
        <w:t> </w:t>
      </w:r>
      <w:r w:rsidRPr="503DC450">
        <w:rPr>
          <w:rFonts w:ascii="Arial" w:hAnsi="Arial" w:cs="Arial"/>
          <w:sz w:val="22"/>
          <w:szCs w:val="22"/>
        </w:rPr>
        <w:t>This will be achieved through making available appropriate learning resources, enabling students to develop the skills to use them as well as developing their own</w:t>
      </w:r>
      <w:r w:rsidRPr="503DC450">
        <w:rPr>
          <w:rFonts w:ascii="Arial" w:hAnsi="Arial" w:cs="Arial"/>
          <w:sz w:val="22"/>
          <w:szCs w:val="22"/>
        </w:rPr>
        <w:t> </w:t>
      </w:r>
      <w:r w:rsidRPr="503DC450">
        <w:rPr>
          <w:rFonts w:ascii="Arial" w:hAnsi="Arial" w:cs="Arial"/>
          <w:sz w:val="22"/>
          <w:szCs w:val="22"/>
        </w:rPr>
        <w:t>digital</w:t>
      </w:r>
      <w:r w:rsidRPr="503DC450">
        <w:rPr>
          <w:rFonts w:ascii="Arial" w:hAnsi="Arial" w:cs="Arial"/>
          <w:sz w:val="22"/>
          <w:szCs w:val="22"/>
        </w:rPr>
        <w:t> </w:t>
      </w:r>
      <w:r w:rsidRPr="503DC450">
        <w:rPr>
          <w:rFonts w:ascii="Arial" w:hAnsi="Arial" w:cs="Arial"/>
          <w:sz w:val="22"/>
          <w:szCs w:val="22"/>
        </w:rPr>
        <w:t>literacy.</w:t>
      </w:r>
      <w:r w:rsidRPr="503DC450">
        <w:rPr>
          <w:rFonts w:ascii="Arial" w:hAnsi="Arial" w:cs="Arial"/>
          <w:sz w:val="22"/>
          <w:szCs w:val="22"/>
        </w:rPr>
        <w:t> </w:t>
      </w:r>
      <w:r w:rsidRPr="503DC450">
        <w:rPr>
          <w:rFonts w:ascii="Arial" w:hAnsi="Arial" w:cs="Arial"/>
          <w:sz w:val="22"/>
          <w:szCs w:val="22"/>
        </w:rPr>
        <w:t xml:space="preserve"> The KULISC VLE, built in line with Kingston University’s Academic Framework and VLE minimum expectations, will ensure that each teaching session/lecture is supported by a wide range of learning and assessment resources which can be easily accessed by students.</w:t>
      </w:r>
      <w:r w:rsidRPr="503DC450">
        <w:rPr>
          <w:rFonts w:ascii="Arial" w:hAnsi="Arial" w:cs="Arial"/>
          <w:sz w:val="22"/>
          <w:szCs w:val="22"/>
        </w:rPr>
        <w:t> </w:t>
      </w:r>
      <w:r w:rsidRPr="503DC450">
        <w:rPr>
          <w:rFonts w:ascii="Arial" w:hAnsi="Arial" w:cs="Arial"/>
          <w:sz w:val="22"/>
          <w:szCs w:val="22"/>
        </w:rPr>
        <w:t xml:space="preserve"> As well as improved accessibility, the VLE will encourage higher levels of engagement with the learning process through the use of a range of activities, including </w:t>
      </w:r>
      <w:r w:rsidRPr="503DC450">
        <w:rPr>
          <w:rFonts w:ascii="Arial" w:hAnsi="Arial" w:cs="Arial"/>
          <w:sz w:val="22"/>
          <w:szCs w:val="22"/>
          <w:shd w:val="clear" w:color="auto" w:fill="FFFFFF"/>
        </w:rPr>
        <w:t xml:space="preserve">online tests and quizzes, videos and podcasts. </w:t>
      </w:r>
      <w:r w:rsidRPr="503DC450">
        <w:rPr>
          <w:rFonts w:ascii="Arial" w:hAnsi="Arial" w:cs="Arial"/>
          <w:sz w:val="22"/>
          <w:szCs w:val="22"/>
        </w:rPr>
        <w:t>It will also enable students to interact and collaborate with their tutors as well as each other by opening up a range of channels for effective and efficient communication through group messages, announcements, forums, conferences and direct messaging.</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learner-centred teaching methods to be adopted will involve collaborative learning where students will be encouraged to engage in group discussions and debates to facilitate their learning. Furthermore, resources will be provided to students using online methods such as the Virtual Learning Environment, MyLab Maths and My Lab Intro to Business among others. These resources will facilitate content-focused learning where students will be able to access academic articles, videos, websites and additional reading texts where appropriate.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Therefore, this programme will incorporate hybrid learning strategies where students learn from traditional face-to-face lectures and seminars on one hand and also through online activities on the other hand.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hybrid learning strategies will provide </w:t>
      </w:r>
      <w:r w:rsidRPr="503DC450">
        <w:rPr>
          <w:rFonts w:ascii="Arial" w:hAnsi="Arial" w:cs="Arial"/>
          <w:sz w:val="22"/>
          <w:szCs w:val="22"/>
        </w:rPr>
        <w:t>tutors</w:t>
      </w:r>
      <w:r w:rsidRPr="503DC450">
        <w:rPr>
          <w:rFonts w:ascii="Arial" w:hAnsi="Arial" w:cs="Arial"/>
          <w:sz w:val="22"/>
          <w:szCs w:val="22"/>
        </w:rPr>
        <w:t xml:space="preserve"> with the opportunity to provide formative feedback to students. As such, there will be a combination of formative and summative assessments to evaluate students’ progress and understanding of the subject area. For example, where students are required to create a project plan, feedback will be provided on a draft plan by the tutor. This will ensure that both the students and the tutor can monitor their progress. Furthermore, the weekly lectures and seminars provide another opportunity to evaluate student progress in addition to online activities, in-class tests and the use of the virtual learning environment to provide student feedback.</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In addition to the formative assessments, students will also be assessed summatively. This ranges</w:t>
      </w:r>
      <w:r w:rsidRPr="503DC450">
        <w:rPr>
          <w:rFonts w:ascii="Arial" w:hAnsi="Arial" w:cs="Arial"/>
          <w:sz w:val="22"/>
          <w:szCs w:val="22"/>
        </w:rPr>
        <w:t xml:space="preserve"> </w:t>
      </w:r>
      <w:r w:rsidRPr="503DC450">
        <w:rPr>
          <w:rFonts w:ascii="Arial" w:hAnsi="Arial" w:cs="Arial"/>
          <w:sz w:val="22"/>
          <w:szCs w:val="22"/>
        </w:rPr>
        <w:t xml:space="preserve">from in-class tests to group work and written examinations. </w:t>
      </w:r>
      <w:r w:rsidRPr="503DC450">
        <w:rPr>
          <w:rFonts w:ascii="Arial" w:hAnsi="Arial" w:cs="Arial"/>
          <w:sz w:val="22"/>
          <w:szCs w:val="22"/>
        </w:rPr>
        <w:t xml:space="preserve">A </w:t>
      </w:r>
      <w:r w:rsidRPr="503DC450">
        <w:rPr>
          <w:rFonts w:ascii="Arial" w:hAnsi="Arial" w:cs="Arial"/>
          <w:sz w:val="22"/>
          <w:szCs w:val="22"/>
        </w:rPr>
        <w:t xml:space="preserve">range of different summative assessments will help to develop students’ academic writing skills, critical analysis, </w:t>
      </w:r>
      <w:r w:rsidRPr="503DC450">
        <w:rPr>
          <w:rFonts w:ascii="Arial" w:hAnsi="Arial" w:cs="Arial"/>
          <w:sz w:val="22"/>
          <w:szCs w:val="22"/>
        </w:rPr>
        <w:t>teamwork</w:t>
      </w:r>
      <w:r w:rsidRPr="503DC450">
        <w:rPr>
          <w:rFonts w:ascii="Arial" w:hAnsi="Arial" w:cs="Arial"/>
          <w:sz w:val="22"/>
          <w:szCs w:val="22"/>
        </w:rPr>
        <w:t xml:space="preserve">, presentation and problem-solving skills which are necessary for success at the Masters’ level of postgraduate study. </w:t>
      </w:r>
    </w:p>
    <w:p w:rsidRPr="503DC450" w:rsidP="007D20BC">
      <w:pPr>
        <w:jc w:val="both"/>
        <w:rPr>
          <w:rFonts w:ascii="Arial" w:hAnsi="Arial" w:cs="Arial"/>
          <w:sz w:val="22"/>
          <w:szCs w:val="22"/>
        </w:rPr>
      </w:pPr>
      <w:r w:rsidRPr="503DC450">
        <w:rPr>
          <w:rFonts w:ascii="Arial" w:hAnsi="Arial" w:cs="Arial"/>
          <w:i/>
          <w:iCs/>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sz w:val="22"/>
          <w:szCs w:val="22"/>
        </w:rPr>
        <w:t>Students are supported by:</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1. Online Resources</w:t>
      </w:r>
      <w:r w:rsidRPr="503DC450">
        <w:rPr>
          <w:rFonts w:ascii="Arial" w:hAnsi="Arial" w:cs="Arial"/>
          <w:sz w:val="22"/>
          <w:szCs w:val="22"/>
        </w:rPr>
        <w:t xml:space="preserve">: All students will be supported through the provision of </w:t>
      </w:r>
      <w:r w:rsidRPr="503DC450">
        <w:rPr>
          <w:rFonts w:ascii="Arial" w:hAnsi="Arial" w:cs="Arial"/>
          <w:sz w:val="22"/>
          <w:szCs w:val="22"/>
        </w:rPr>
        <w:t xml:space="preserve">resources on the Virtual Learning Environment (VLE) and through online platforms such as </w:t>
      </w:r>
      <w:r w:rsidRPr="503DC450">
        <w:rPr>
          <w:rFonts w:ascii="Arial" w:hAnsi="Arial" w:cs="Arial"/>
          <w:sz w:val="22"/>
          <w:szCs w:val="22"/>
        </w:rPr>
        <w:t xml:space="preserve">LinkedIn Learning, </w:t>
      </w:r>
      <w:r w:rsidRPr="503DC450">
        <w:rPr>
          <w:rFonts w:ascii="Arial" w:hAnsi="Arial" w:cs="Arial"/>
          <w:sz w:val="22"/>
          <w:szCs w:val="22"/>
        </w:rPr>
        <w:t xml:space="preserve">MyLab Maths and MyLab Introduction to Business by Pearson. </w:t>
      </w:r>
      <w:r w:rsidRPr="503DC450">
        <w:rPr>
          <w:rFonts w:ascii="Arial" w:hAnsi="Arial" w:cs="Arial"/>
          <w:sz w:val="22"/>
          <w:szCs w:val="22"/>
        </w:rPr>
        <w:t>The resources to be provided include additional reading lists, lecture materials, seminar materials, academic articles, videos, websites, case-studies and online quizzes among others</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b/>
          <w:bCs/>
          <w:sz w:val="22"/>
          <w:szCs w:val="22"/>
        </w:rPr>
        <w:t xml:space="preserve">2. Academic Mentoring Sessions/CareerAhead: </w:t>
      </w:r>
      <w:r w:rsidRPr="503DC450">
        <w:rPr>
          <w:rFonts w:ascii="Arial" w:hAnsi="Arial" w:cs="Arial"/>
          <w:sz w:val="22"/>
          <w:szCs w:val="22"/>
          <w:shd w:val="clear" w:color="auto" w:fill="FFFFFF"/>
        </w:rPr>
        <w:t xml:space="preserve">This is a compulsory </w:t>
      </w:r>
      <w:r w:rsidRPr="503DC450">
        <w:rPr>
          <w:rFonts w:ascii="Arial" w:hAnsi="Arial" w:cs="Arial"/>
          <w:sz w:val="22"/>
          <w:szCs w:val="22"/>
          <w:shd w:val="clear" w:color="auto" w:fill="FFFFFF"/>
        </w:rPr>
        <w:t>one-hour</w:t>
      </w:r>
      <w:r w:rsidRPr="503DC450">
        <w:rPr>
          <w:rFonts w:ascii="Arial" w:hAnsi="Arial" w:cs="Arial"/>
          <w:sz w:val="22"/>
          <w:szCs w:val="22"/>
          <w:shd w:val="clear" w:color="auto" w:fill="FFFFFF"/>
        </w:rPr>
        <w:t xml:space="preserve"> session per week for all </w:t>
      </w:r>
      <w:r w:rsidRPr="503DC450">
        <w:rPr>
          <w:rFonts w:ascii="Arial" w:hAnsi="Arial" w:cs="Arial"/>
          <w:sz w:val="22"/>
          <w:szCs w:val="22"/>
          <w:shd w:val="clear" w:color="auto" w:fill="FFFFFF"/>
        </w:rPr>
        <w:t xml:space="preserve">Pre-Masters </w:t>
      </w:r>
      <w:r w:rsidRPr="503DC450">
        <w:rPr>
          <w:rFonts w:ascii="Arial" w:hAnsi="Arial" w:cs="Arial"/>
          <w:sz w:val="22"/>
          <w:szCs w:val="22"/>
          <w:shd w:val="clear" w:color="auto" w:fill="FFFFFF"/>
        </w:rPr>
        <w:t xml:space="preserve">Programme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CareerAhead, </w:t>
      </w:r>
      <w:r w:rsidRPr="503DC450">
        <w:rPr>
          <w:rFonts w:ascii="Arial" w:hAnsi="Arial" w:cs="Arial"/>
          <w:sz w:val="22"/>
          <w:szCs w:val="22"/>
        </w:rPr>
        <w:t xml:space="preserve">supporting students to develop valuable employment skills. </w:t>
      </w:r>
    </w:p>
    <w:p w:rsidRPr="503DC450" w:rsidP="00B40E99">
      <w:pPr>
        <w:ind w:left="360"/>
        <w:jc w:val="both"/>
        <w:rPr>
          <w:rFonts w:ascii="Arial" w:hAnsi="Arial" w:cs="Arial"/>
          <w:sz w:val="22"/>
          <w:szCs w:val="22"/>
        </w:rPr>
      </w:pPr>
      <w:r w:rsidRPr="503DC450">
        <w:rPr>
          <w:rFonts w:ascii="Arial" w:hAnsi="Arial" w:cs="Arial"/>
          <w:sz w:val="22"/>
          <w:szCs w:val="22"/>
        </w:rPr>
        <w:t>CareerAhead activities include:</w:t>
      </w:r>
    </w:p>
    <w:p w:rsidRPr="503DC450" w:rsidP="00B40E99">
      <w:pPr>
        <w:numPr>
          <w:ilvl w:val="0"/>
          <w:numId w:val="13"/>
        </w:numPr>
        <w:ind w:left="720" w:right="0" w:hanging="360"/>
        <w:jc w:val="both"/>
        <w:rPr>
          <w:rFonts w:ascii="Arial" w:hAnsi="Arial" w:cs="Arial"/>
          <w:sz w:val="22"/>
          <w:szCs w:val="22"/>
        </w:rPr>
      </w:pPr>
      <w:r w:rsidRPr="503DC450">
        <w:rPr>
          <w:rFonts w:ascii="Arial" w:hAnsi="Arial" w:cs="Arial"/>
          <w:sz w:val="22"/>
          <w:szCs w:val="22"/>
        </w:rPr>
        <w:t>Keeping a reflective diary;</w:t>
      </w:r>
    </w:p>
    <w:p w:rsidRPr="503DC450" w:rsidP="00B40E99">
      <w:pPr>
        <w:numPr>
          <w:ilvl w:val="0"/>
          <w:numId w:val="13"/>
        </w:numPr>
        <w:ind w:left="720" w:right="0" w:hanging="360"/>
        <w:jc w:val="both"/>
        <w:rPr>
          <w:rFonts w:ascii="Arial" w:hAnsi="Arial" w:cs="Arial"/>
          <w:sz w:val="22"/>
          <w:szCs w:val="22"/>
        </w:rPr>
      </w:pPr>
      <w:r w:rsidRPr="503DC450">
        <w:rPr>
          <w:rFonts w:ascii="Arial" w:hAnsi="Arial" w:cs="Arial"/>
          <w:sz w:val="22"/>
          <w:szCs w:val="22"/>
        </w:rPr>
        <w:t>Completing a bespoke skills review, identifying personal strengths and areas for development;</w:t>
      </w:r>
    </w:p>
    <w:p w:rsidRPr="503DC450" w:rsidP="00B40E99">
      <w:pPr>
        <w:numPr>
          <w:ilvl w:val="0"/>
          <w:numId w:val="13"/>
        </w:numPr>
        <w:ind w:left="720" w:right="0" w:hanging="360"/>
        <w:jc w:val="both"/>
        <w:rPr>
          <w:rFonts w:ascii="Arial" w:hAnsi="Arial" w:cs="Arial"/>
          <w:sz w:val="22"/>
          <w:szCs w:val="22"/>
        </w:rPr>
      </w:pPr>
      <w:r w:rsidRPr="503DC450">
        <w:rPr>
          <w:rFonts w:ascii="Arial" w:hAnsi="Arial" w:cs="Arial"/>
          <w:sz w:val="22"/>
          <w:szCs w:val="22"/>
        </w:rPr>
        <w:t>Writing a personal development plan.</w:t>
      </w:r>
    </w:p>
    <w:p w:rsidRPr="503DC450" w:rsidP="00B40E99">
      <w:pPr>
        <w:ind w:left="720"/>
        <w:jc w:val="both"/>
        <w:rPr>
          <w:rFonts w:ascii="Arial" w:hAnsi="Arial" w:cs="Arial"/>
          <w:sz w:val="22"/>
          <w:szCs w:val="22"/>
        </w:rPr>
      </w:pPr>
      <w:r w:rsidRPr="503DC450">
        <w:rPr>
          <w:rFonts w:ascii="Arial" w:hAnsi="Arial" w:cs="Arial"/>
          <w:sz w:val="22"/>
          <w:szCs w:val="22"/>
        </w:rPr>
        <w:t> </w:t>
      </w:r>
    </w:p>
    <w:p w:rsidRPr="503DC450" w:rsidP="00B40E99">
      <w:pPr>
        <w:ind w:left="360"/>
        <w:jc w:val="both"/>
        <w:rPr>
          <w:rFonts w:ascii="Arial" w:hAnsi="Arial" w:cs="Arial"/>
          <w:sz w:val="22"/>
          <w:szCs w:val="22"/>
        </w:rPr>
      </w:pPr>
      <w:r w:rsidRPr="503DC450">
        <w:rPr>
          <w:rFonts w:ascii="Arial" w:hAnsi="Arial" w:cs="Arial"/>
          <w:sz w:val="22"/>
          <w:szCs w:val="22"/>
        </w:rPr>
        <w:t>Through CareerAhead activities, students will:</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Demonstrate self-awareness and personal skills development;</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Acquire knowledge about the ‘world of work’</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Undertake self-reflection and take action to improve;</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Develop an awareness of the need to take responsibility for their own future.</w:t>
      </w:r>
    </w:p>
    <w:p w:rsidRPr="503DC450" w:rsidP="00B40E99">
      <w:pPr>
        <w:pStyle w:val="ListParagraph0"/>
        <w:ind w:left="36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sz w:val="22"/>
          <w:szCs w:val="22"/>
          <w:shd w:val="clear" w:color="auto" w:fill="FFFFFF"/>
        </w:rPr>
        <w:t>The Academic Progression Mentoring Scheme (and CareerAhead) does not contribute to the assessment of the</w:t>
      </w:r>
      <w:r w:rsidRPr="503DC450">
        <w:rPr>
          <w:rFonts w:ascii="Arial" w:hAnsi="Arial" w:cs="Arial"/>
          <w:sz w:val="22"/>
          <w:szCs w:val="22"/>
          <w:shd w:val="clear" w:color="auto" w:fill="FFFFFF"/>
        </w:rPr>
        <w:t xml:space="preserve"> Pre-Masters</w:t>
      </w:r>
      <w:r w:rsidRPr="503DC450">
        <w:rPr>
          <w:rFonts w:ascii="Arial" w:hAnsi="Arial" w:cs="Arial"/>
          <w:sz w:val="22"/>
          <w:szCs w:val="22"/>
          <w:shd w:val="clear" w:color="auto" w:fill="FFFFFF"/>
        </w:rPr>
        <w:t xml:space="preserve"> </w:t>
      </w:r>
      <w:r w:rsidRPr="503DC450">
        <w:rPr>
          <w:rFonts w:ascii="Arial" w:hAnsi="Arial" w:cs="Arial"/>
          <w:sz w:val="22"/>
          <w:szCs w:val="22"/>
          <w:shd w:val="clear" w:color="auto" w:fill="FFFFFF"/>
        </w:rPr>
        <w:t>Programme</w:t>
      </w:r>
      <w:r w:rsidRPr="503DC450">
        <w:rPr>
          <w:rFonts w:ascii="Arial" w:hAnsi="Arial" w:cs="Arial"/>
          <w:sz w:val="22"/>
          <w:szCs w:val="22"/>
          <w:shd w:val="clear" w:color="auto" w:fill="FFFFFF"/>
        </w:rPr>
        <w:t xml:space="preserve">. This session is based on </w:t>
      </w:r>
      <w:r w:rsidRPr="503DC450">
        <w:rPr>
          <w:rFonts w:ascii="Arial" w:hAnsi="Arial" w:cs="Arial"/>
          <w:sz w:val="22"/>
          <w:szCs w:val="22"/>
          <w:shd w:val="clear" w:color="auto" w:fill="FFFFFF"/>
        </w:rPr>
        <w:t>the rationale of providing all</w:t>
      </w:r>
      <w:r w:rsidRPr="503DC450">
        <w:rPr>
          <w:rFonts w:ascii="Arial" w:hAnsi="Arial" w:cs="Arial"/>
          <w:sz w:val="22"/>
          <w:szCs w:val="22"/>
          <w:shd w:val="clear" w:color="auto" w:fill="FFFFFF"/>
        </w:rPr>
        <w:t xml:space="preserve"> </w:t>
      </w:r>
      <w:r w:rsidRPr="503DC450">
        <w:rPr>
          <w:rFonts w:ascii="Arial" w:hAnsi="Arial" w:cs="Arial"/>
          <w:sz w:val="22"/>
          <w:szCs w:val="22"/>
          <w:shd w:val="clear" w:color="auto" w:fill="FFFFFF"/>
        </w:rPr>
        <w:t>Pre-Masters Programme</w:t>
      </w:r>
      <w:r w:rsidRPr="503DC450">
        <w:rPr>
          <w:rFonts w:ascii="Arial" w:hAnsi="Arial" w:cs="Arial"/>
          <w:sz w:val="22"/>
          <w:szCs w:val="22"/>
          <w:shd w:val="clear" w:color="auto" w:fill="FFFFFF"/>
        </w:rPr>
        <w:t xml:space="preserve"> </w:t>
      </w:r>
      <w:r w:rsidRPr="503DC450">
        <w:rPr>
          <w:rFonts w:ascii="Arial" w:hAnsi="Arial" w:cs="Arial"/>
          <w:sz w:val="22"/>
          <w:szCs w:val="22"/>
          <w:shd w:val="clear" w:color="auto" w:fill="FFFFFF"/>
        </w:rPr>
        <w:t>students with academic</w:t>
      </w:r>
      <w:r w:rsidRPr="503DC450">
        <w:rPr>
          <w:rFonts w:ascii="Arial" w:hAnsi="Arial" w:cs="Arial"/>
          <w:sz w:val="22"/>
          <w:szCs w:val="22"/>
          <w:shd w:val="clear" w:color="auto" w:fill="FFFFFF"/>
        </w:rPr>
        <w:t xml:space="preserve">, </w:t>
      </w:r>
      <w:r w:rsidRPr="503DC450">
        <w:rPr>
          <w:rFonts w:ascii="Arial" w:hAnsi="Arial" w:cs="Arial"/>
          <w:sz w:val="22"/>
          <w:szCs w:val="22"/>
          <w:shd w:val="clear" w:color="auto" w:fill="FFFFFF"/>
        </w:rPr>
        <w:t>employability and</w:t>
      </w:r>
      <w:r w:rsidRPr="503DC450">
        <w:rPr>
          <w:rFonts w:ascii="Arial" w:hAnsi="Arial" w:cs="Arial"/>
          <w:sz w:val="22"/>
          <w:szCs w:val="22"/>
          <w:shd w:val="clear" w:color="auto" w:fill="FFFFFF"/>
        </w:rPr>
        <w:t xml:space="preserve">/or social support and guidance during their studies. The mentor and mentees are to work together to build positive relationships and fundamentally student success at </w:t>
      </w:r>
      <w:r w:rsidRPr="503DC450">
        <w:rPr>
          <w:rFonts w:ascii="Arial" w:hAnsi="Arial" w:cs="Arial"/>
          <w:sz w:val="22"/>
          <w:szCs w:val="22"/>
          <w:shd w:val="clear" w:color="auto" w:fill="FFFFFF"/>
        </w:rPr>
        <w:t>Pre-Masters</w:t>
      </w:r>
      <w:r w:rsidRPr="503DC450">
        <w:rPr>
          <w:rFonts w:ascii="Arial" w:hAnsi="Arial" w:cs="Arial"/>
          <w:sz w:val="22"/>
          <w:szCs w:val="22"/>
          <w:shd w:val="clear" w:color="auto" w:fill="FFFFFF"/>
        </w:rPr>
        <w:t>.</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b/>
          <w:bCs/>
          <w:sz w:val="22"/>
          <w:szCs w:val="22"/>
        </w:rPr>
        <w:t>3. Library and IT facilities</w:t>
      </w:r>
      <w:r w:rsidRPr="503DC450">
        <w:rPr>
          <w:rFonts w:ascii="Arial" w:hAnsi="Arial" w:cs="Arial"/>
          <w:sz w:val="22"/>
          <w:szCs w:val="22"/>
        </w:rPr>
        <w:t>: Students will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b/>
          <w:bCs/>
          <w:sz w:val="22"/>
          <w:szCs w:val="22"/>
        </w:rPr>
        <w:t xml:space="preserve">4. Student Progression and Wellbeing </w:t>
      </w:r>
      <w:r w:rsidRPr="503DC450">
        <w:rPr>
          <w:rFonts w:ascii="Arial" w:hAnsi="Arial" w:cs="Arial"/>
          <w:sz w:val="22"/>
          <w:szCs w:val="22"/>
        </w:rPr>
        <w:t xml:space="preserve">Team: The ISC has designated wellbeing and safeguarding staff who will provide students with pastoral care support and guidance on non-academic matters. </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jc w:val="both"/>
        <w:rPr>
          <w:rFonts w:ascii="Arial" w:eastAsia="Arial" w:hAnsi="Arial" w:cs="Arial"/>
          <w:sz w:val="22"/>
          <w:szCs w:val="22"/>
        </w:rPr>
      </w:pPr>
    </w:p>
    <w:p w:rsidRPr="503DC450" w:rsidP="00A92C9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ISC and Kingston University have several methods for evaluating and improving the quality and standards of its provision.</w:t>
      </w:r>
      <w:r w:rsidRPr="503DC450">
        <w:rPr>
          <w:rFonts w:ascii="Arial" w:eastAsia="Arial" w:hAnsi="Arial" w:cs="Arial"/>
          <w:sz w:val="22"/>
          <w:szCs w:val="22"/>
        </w:rPr>
        <w:t xml:space="preserve">  </w:t>
      </w:r>
      <w:r w:rsidRPr="503DC450">
        <w:rPr>
          <w:rFonts w:ascii="Arial" w:eastAsia="Arial" w:hAnsi="Arial" w:cs="Arial"/>
          <w:sz w:val="22"/>
          <w:szCs w:val="22"/>
        </w:rPr>
        <w:t>These include:</w:t>
      </w:r>
    </w:p>
    <w:p w:rsidRPr="503DC450" w:rsidP="00A92C9B">
      <w:pPr>
        <w:pStyle w:val="p"/>
        <w:spacing w:before="0" w:after="0"/>
        <w:ind w:left="360" w:right="0"/>
        <w:jc w:val="both"/>
        <w:rPr>
          <w:rFonts w:ascii="Arial" w:eastAsia="Arial" w:hAnsi="Arial" w:cs="Arial"/>
          <w:sz w:val="22"/>
          <w:szCs w:val="22"/>
        </w:rPr>
      </w:pP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External examiners</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Quality Assurance and Enhancement Committee/Boards of Study with student representation</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Annual Monitoring and Enhancement</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Periodic review undertaken at subject level</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Student evaluation including Early, Mid and End-of-Module Evaluation Questionnaire (MEQs).</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Moderation</w:t>
      </w:r>
      <w:r w:rsidRPr="503DC450">
        <w:rPr>
          <w:rFonts w:ascii="Arial" w:eastAsia="Arial" w:hAnsi="Arial" w:cs="Arial"/>
          <w:sz w:val="22"/>
          <w:szCs w:val="22"/>
        </w:rPr>
        <w:t xml:space="preserve"> policies</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Module/Programme Assessment Board</w:t>
      </w:r>
    </w:p>
    <w:p w:rsidRPr="503DC450" w:rsidP="00A92C9B">
      <w:pPr>
        <w:pStyle w:val="p"/>
        <w:spacing w:before="0" w:after="0"/>
        <w:ind w:left="360" w:right="0"/>
        <w:jc w:val="both"/>
        <w:rPr>
          <w:rFonts w:ascii="Arial" w:eastAsia="Arial" w:hAnsi="Arial" w:cs="Arial"/>
          <w:sz w:val="22"/>
          <w:szCs w:val="22"/>
        </w:rPr>
      </w:pP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0" w:right="0"/>
        <w:jc w:val="both"/>
        <w:rPr>
          <w:rFonts w:ascii="Arial" w:eastAsia="Arial" w:hAnsi="Arial" w:cs="Arial"/>
          <w:i/>
          <w:iCs/>
          <w:color w:val="FF0000"/>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This programme aims to develop key employability skills such as critical analysis, numeracy, problem-solving, teamwork and presentation skills. </w:t>
      </w:r>
      <w:r w:rsidRPr="503DC450">
        <w:rPr>
          <w:rFonts w:ascii="Arial" w:eastAsia="Arial" w:hAnsi="Arial" w:cs="Arial"/>
          <w:sz w:val="22"/>
          <w:szCs w:val="22"/>
        </w:rPr>
        <w:t xml:space="preserve">Students will also develop their English Language skills which will enable them work well in teams and adapt to corporate work environments. </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Teamwork and presentation skills are developed using summative assessment</w:t>
      </w:r>
      <w:r w:rsidRPr="503DC450">
        <w:rPr>
          <w:rFonts w:ascii="Arial" w:eastAsia="Arial" w:hAnsi="Arial" w:cs="Arial"/>
          <w:sz w:val="22"/>
          <w:szCs w:val="22"/>
        </w:rPr>
        <w:t>s</w:t>
      </w:r>
      <w:r w:rsidRPr="503DC450">
        <w:rPr>
          <w:rFonts w:ascii="Arial" w:eastAsia="Arial" w:hAnsi="Arial" w:cs="Arial"/>
          <w:sz w:val="22"/>
          <w:szCs w:val="22"/>
        </w:rPr>
        <w:t xml:space="preserve"> that involve the creation and presentation of a project plan by group members. Critical analysis and numeracy skills are developed by enabling students to undertake research assignments and written examinations across the modules.</w:t>
      </w:r>
      <w:r w:rsidRPr="503DC450">
        <w:rPr>
          <w:rFonts w:ascii="Arial" w:eastAsia="Arial" w:hAnsi="Arial" w:cs="Arial"/>
          <w:sz w:val="22"/>
          <w:szCs w:val="22"/>
        </w:rPr>
        <w:t xml:space="preserve">  </w:t>
      </w:r>
      <w:r w:rsidRPr="503DC450">
        <w:rPr>
          <w:rFonts w:ascii="Arial" w:eastAsia="Arial" w:hAnsi="Arial" w:cs="Arial"/>
          <w:sz w:val="22"/>
          <w:szCs w:val="22"/>
        </w:rPr>
        <w:t xml:space="preserve">Online resources such as LinkedIn will be introduced to the students to support their visibility to potential employers and graduate jobs once their masters’ programmes are completed. </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As such, the assessments across the modules aim to enhance and develop these skills among others in students</w:t>
      </w:r>
      <w:r w:rsidRPr="503DC450">
        <w:rPr>
          <w:rFonts w:ascii="Arial" w:eastAsia="Arial" w:hAnsi="Arial" w:cs="Arial"/>
          <w:sz w:val="22"/>
          <w:szCs w:val="22"/>
        </w:rPr>
        <w:t xml:space="preserve"> which will be transferred to their respective masters’ programmes and </w:t>
      </w:r>
      <w:r w:rsidRPr="503DC450">
        <w:rPr>
          <w:rFonts w:ascii="Arial" w:eastAsia="Arial" w:hAnsi="Arial" w:cs="Arial"/>
          <w:sz w:val="22"/>
          <w:szCs w:val="22"/>
        </w:rPr>
        <w:t>the real-world context upon graduation.</w:t>
      </w:r>
      <w:r w:rsidRPr="503DC450">
        <w:rPr>
          <w:rFonts w:ascii="Arial" w:eastAsia="Arial" w:hAnsi="Arial" w:cs="Arial"/>
          <w:sz w:val="22"/>
          <w:szCs w:val="22"/>
        </w:rPr>
        <w:t xml:space="preserve"> </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Thus, upon completion of the Pre-Masters Programme, students will advance to different postgraduate taught programmes and then move on to Graduate jobs of their choice where they can apply the skills gained in the Pre-Masters Programme. </w:t>
      </w:r>
    </w:p>
    <w:p w:rsidRPr="503DC450" w:rsidP="001A372B">
      <w:pPr>
        <w:pStyle w:val="p"/>
        <w:spacing w:before="0" w:after="0"/>
        <w:ind w:left="360" w:right="0"/>
        <w:jc w:val="both"/>
        <w:rPr>
          <w:rFonts w:ascii="Arial" w:eastAsia="Arial" w:hAnsi="Arial" w:cs="Arial"/>
          <w:i/>
          <w:iCs/>
          <w:color w:val="FF0000"/>
          <w:sz w:val="22"/>
          <w:szCs w:val="22"/>
        </w:rPr>
      </w:pPr>
    </w:p>
    <w:p w:rsidRPr="503DC450" w:rsidP="001A372B">
      <w:pPr>
        <w:pStyle w:val="p"/>
        <w:spacing w:before="0" w:after="0"/>
        <w:ind w:left="0" w:right="0"/>
        <w:jc w:val="both"/>
        <w:rPr>
          <w:rFonts w:ascii="Arial" w:eastAsia="Arial" w:hAnsi="Arial" w:cs="Arial"/>
          <w:b/>
          <w:bCs/>
          <w:i/>
          <w:iCs/>
          <w:sz w:val="22"/>
          <w:szCs w:val="22"/>
        </w:rPr>
      </w:pP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00B400F2" w:rsidP="00A92C9B" w14:paraId="0585F3BC"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jc w:val="both"/>
        <w:rPr>
          <w:rFonts w:ascii="Arial" w:eastAsia="Arial" w:hAnsi="Arial" w:cs="Arial"/>
          <w:i/>
          <w:iCs/>
          <w:color w:val="FF0000"/>
          <w:sz w:val="22"/>
          <w:szCs w:val="22"/>
        </w:rPr>
      </w:pPr>
    </w:p>
    <w:p w:rsidRPr="503DC450" w:rsidP="00A92C9B">
      <w:pPr>
        <w:pStyle w:val="p"/>
        <w:spacing w:before="0" w:after="0"/>
        <w:ind w:left="0" w:right="0"/>
        <w:jc w:val="both"/>
        <w:rPr>
          <w:rFonts w:ascii="Arial" w:eastAsia="Arial" w:hAnsi="Arial" w:cs="Arial"/>
          <w:i/>
          <w:iCs/>
          <w:color w:val="FF0000"/>
          <w:sz w:val="22"/>
          <w:szCs w:val="22"/>
        </w:rPr>
      </w:pPr>
    </w:p>
    <w:p w:rsidRPr="503DC450" w:rsidP="00A92C9B">
      <w:pPr>
        <w:pStyle w:val="p"/>
        <w:spacing w:before="0" w:after="0"/>
        <w:ind w:left="0" w:right="0"/>
        <w:jc w:val="both"/>
        <w:rPr>
          <w:rFonts w:ascii="Times New Roman" w:eastAsia="Times New Roman" w:hAnsi="Times New Roman" w:cs="Times New Roman"/>
          <w:sz w:val="24"/>
          <w:szCs w:val="24"/>
        </w:rPr>
      </w:pPr>
      <w:r w:rsidRPr="503DC450">
        <w:rPr>
          <w:rFonts w:ascii="Arial" w:eastAsia="Arial" w:hAnsi="Arial" w:cs="Arial"/>
          <w:sz w:val="22"/>
          <w:szCs w:val="22"/>
        </w:rPr>
        <w:t xml:space="preserve">QAA Subject Benchmark Statement Business and Management [Online] Available at: </w:t>
      </w:r>
      <w:hyperlink r:id="rId9" w:history="1">
        <w:r w:rsidRPr="503DC450">
          <w:rPr>
            <w:rFonts w:ascii="Arial" w:eastAsia="Arial" w:hAnsi="Arial" w:cs="Arial"/>
            <w:color w:val="0000FF"/>
            <w:sz w:val="22"/>
            <w:szCs w:val="22"/>
            <w:u w:val="single" w:color="0000FF"/>
          </w:rPr>
          <w:t>https://www.qaa.ac.uk/docs/qaa/subject-benchmark-statements/subject-benchmark-statement-business-and-management.pdf?sfvrsn=db39c881_5</w:t>
        </w:r>
      </w:hyperlink>
      <w:r w:rsidRPr="503DC450">
        <w:rPr>
          <w:rFonts w:ascii="Arial" w:eastAsia="Arial" w:hAnsi="Arial" w:cs="Arial"/>
          <w:sz w:val="22"/>
          <w:szCs w:val="22"/>
        </w:rPr>
        <w:t xml:space="preserve"> [Accessed 16 March 2020]</w:t>
      </w:r>
    </w:p>
    <w:p w:rsidRPr="503DC450" w:rsidP="00A92C9B">
      <w:pPr>
        <w:pStyle w:val="p"/>
        <w:spacing w:before="0" w:after="0"/>
        <w:ind w:left="0" w:right="0"/>
        <w:jc w:val="both"/>
        <w:rPr>
          <w:rFonts w:ascii="Arial" w:eastAsia="Arial" w:hAnsi="Arial" w:cs="Arial"/>
          <w:sz w:val="22"/>
          <w:szCs w:val="22"/>
        </w:rPr>
      </w:pPr>
    </w:p>
    <w:p w:rsidRPr="503DC450" w:rsidP="00A92C9B">
      <w:pPr>
        <w:pStyle w:val="p"/>
        <w:spacing w:before="0" w:after="0"/>
        <w:ind w:left="0" w:right="0"/>
        <w:jc w:val="both"/>
        <w:rPr>
          <w:rFonts w:ascii="Times New Roman" w:eastAsia="Times New Roman" w:hAnsi="Times New Roman" w:cs="Times New Roman"/>
          <w:sz w:val="24"/>
          <w:szCs w:val="24"/>
        </w:rPr>
      </w:pPr>
      <w:r w:rsidRPr="503DC450">
        <w:rPr>
          <w:rFonts w:ascii="Arial" w:eastAsia="Arial" w:hAnsi="Arial" w:cs="Arial"/>
          <w:sz w:val="22"/>
          <w:szCs w:val="22"/>
        </w:rPr>
        <w:t xml:space="preserve">QAA Subject Benchmark Statement Master’s Degrees in Business and Management [Online] Available at: </w:t>
      </w:r>
      <w:hyperlink r:id="rId10" w:history="1">
        <w:r w:rsidRPr="503DC450">
          <w:rPr>
            <w:rFonts w:ascii="Arial" w:eastAsia="Arial" w:hAnsi="Arial" w:cs="Arial"/>
            <w:color w:val="0000FF"/>
            <w:sz w:val="22"/>
            <w:szCs w:val="22"/>
            <w:u w:val="single" w:color="0000FF"/>
          </w:rPr>
          <w:t>https://www.qaa.ac.uk/docs/qaa/subject-benchmark-statements/sbs-business-and-management-15.pdf?sfvrsn=1997f681_16</w:t>
        </w:r>
      </w:hyperlink>
      <w:r w:rsidRPr="503DC450">
        <w:rPr>
          <w:rFonts w:ascii="Arial" w:eastAsia="Arial" w:hAnsi="Arial" w:cs="Arial"/>
          <w:sz w:val="22"/>
          <w:szCs w:val="22"/>
        </w:rPr>
        <w:t xml:space="preserve"> [Accessed 16 March 2020]</w:t>
      </w:r>
    </w:p>
    <w:p w:rsidRPr="503DC450" w:rsidP="00A92C9B">
      <w:pPr>
        <w:pStyle w:val="p"/>
        <w:spacing w:before="0" w:after="0"/>
        <w:ind w:left="0" w:right="0"/>
        <w:jc w:val="both"/>
        <w:rPr>
          <w:rFonts w:ascii="Arial" w:eastAsia="Arial" w:hAnsi="Arial" w:cs="Arial"/>
          <w:i/>
          <w:iCs/>
          <w:color w:val="FF0000"/>
          <w:sz w:val="22"/>
          <w:szCs w:val="22"/>
        </w:rPr>
      </w:pPr>
    </w:p>
    <w:p w:rsidRPr="503DC450" w:rsidP="00A92C9B">
      <w:pPr>
        <w:pStyle w:val="li"/>
        <w:numPr>
          <w:ilvl w:val="0"/>
          <w:numId w:val="16"/>
        </w:numPr>
        <w:pBdr>
          <w:left w:val="none" w:sz="0" w:space="7" w:color="auto"/>
        </w:pBdr>
        <w:spacing w:before="0" w:after="0" w:line="360" w:lineRule="auto"/>
        <w:ind w:left="720" w:right="0" w:hanging="510"/>
        <w:jc w:val="both"/>
        <w:rPr>
          <w:rFonts w:ascii="Times New Roman" w:eastAsia="Times New Roman" w:hAnsi="Times New Roman" w:cs="Times New Roman"/>
          <w:sz w:val="24"/>
          <w:szCs w:val="24"/>
        </w:rPr>
      </w:pPr>
      <w:r w:rsidRPr="503DC450">
        <w:rPr>
          <w:rFonts w:ascii="Arial" w:eastAsia="Arial" w:hAnsi="Arial" w:cs="Arial"/>
          <w:sz w:val="24"/>
          <w:szCs w:val="24"/>
        </w:rPr>
        <w:t>Module guides/handbooks</w:t>
      </w:r>
    </w:p>
    <w:p w:rsidRPr="503DC450" w:rsidP="00A92C9B">
      <w:pPr>
        <w:pStyle w:val="li"/>
        <w:numPr>
          <w:ilvl w:val="0"/>
          <w:numId w:val="17"/>
        </w:numPr>
        <w:pBdr>
          <w:left w:val="none" w:sz="0" w:space="7" w:color="auto"/>
        </w:pBdr>
        <w:spacing w:before="0" w:after="0" w:line="360" w:lineRule="auto"/>
        <w:ind w:left="720" w:right="0" w:hanging="510"/>
        <w:jc w:val="both"/>
        <w:rPr>
          <w:rFonts w:ascii="Times New Roman" w:eastAsia="Times New Roman" w:hAnsi="Times New Roman" w:cs="Times New Roman"/>
          <w:sz w:val="24"/>
          <w:szCs w:val="24"/>
        </w:rPr>
      </w:pPr>
      <w:r w:rsidRPr="503DC450">
        <w:rPr>
          <w:rFonts w:ascii="Arial" w:eastAsia="Arial" w:hAnsi="Arial" w:cs="Arial"/>
          <w:sz w:val="24"/>
          <w:szCs w:val="24"/>
        </w:rPr>
        <w:t>Student handbook</w:t>
      </w:r>
    </w:p>
    <w:p w:rsidRPr="503DC450" w:rsidP="00A92C9B">
      <w:pPr>
        <w:pStyle w:val="li"/>
        <w:numPr>
          <w:ilvl w:val="0"/>
          <w:numId w:val="17"/>
        </w:numPr>
        <w:pBdr>
          <w:left w:val="none" w:sz="0" w:space="7" w:color="auto"/>
        </w:pBdr>
        <w:spacing w:before="0" w:after="0" w:line="360" w:lineRule="auto"/>
        <w:ind w:left="720" w:right="0" w:hanging="510"/>
        <w:jc w:val="both"/>
        <w:rPr>
          <w:rFonts w:ascii="Times New Roman" w:eastAsia="Times New Roman" w:hAnsi="Times New Roman" w:cs="Times New Roman"/>
          <w:sz w:val="24"/>
          <w:szCs w:val="24"/>
        </w:rPr>
      </w:pPr>
      <w:r w:rsidRPr="503DC450">
        <w:rPr>
          <w:rFonts w:ascii="Arial" w:eastAsia="Arial" w:hAnsi="Arial" w:cs="Arial"/>
          <w:sz w:val="24"/>
          <w:szCs w:val="24"/>
        </w:rPr>
        <w:t xml:space="preserve">Kingston University website, </w:t>
      </w:r>
      <w:hyperlink r:id="rId16" w:history="1">
        <w:r w:rsidRPr="503DC450">
          <w:rPr>
            <w:rFonts w:ascii="Arial" w:eastAsia="Arial" w:hAnsi="Arial" w:cs="Arial"/>
            <w:color w:val="0000FF"/>
            <w:sz w:val="24"/>
            <w:szCs w:val="24"/>
            <w:u w:val="single" w:color="0000FF"/>
          </w:rPr>
          <w:t>www.kingston.ac.uk</w:t>
        </w:r>
      </w:hyperlink>
      <w:r w:rsidRPr="503DC450">
        <w:rPr>
          <w:rFonts w:ascii="Arial" w:eastAsia="Arial" w:hAnsi="Arial" w:cs="Arial"/>
          <w:sz w:val="24"/>
          <w:szCs w:val="24"/>
        </w:rPr>
        <w:t xml:space="preserve"> </w:t>
      </w:r>
    </w:p>
    <w:p w:rsidRPr="503DC450" w:rsidP="00A92C9B">
      <w:pPr>
        <w:pStyle w:val="li"/>
        <w:numPr>
          <w:ilvl w:val="0"/>
          <w:numId w:val="17"/>
        </w:numPr>
        <w:pBdr>
          <w:left w:val="none" w:sz="0" w:space="7" w:color="auto"/>
        </w:pBdr>
        <w:spacing w:before="0" w:after="0" w:line="360" w:lineRule="auto"/>
        <w:ind w:left="720" w:right="0" w:hanging="510"/>
        <w:jc w:val="both"/>
        <w:rPr>
          <w:rFonts w:ascii="Times New Roman" w:eastAsia="Times New Roman" w:hAnsi="Times New Roman" w:cs="Times New Roman"/>
          <w:sz w:val="24"/>
          <w:szCs w:val="24"/>
        </w:rPr>
      </w:pPr>
      <w:r w:rsidRPr="503DC450">
        <w:rPr>
          <w:rFonts w:ascii="Arial" w:eastAsia="Arial" w:hAnsi="Arial" w:cs="Arial"/>
          <w:sz w:val="24"/>
          <w:szCs w:val="24"/>
        </w:rPr>
        <w:t>Canvas (Kingston University virtual learning environment – for current students only)</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73"/>
        <w:gridCol w:w="773"/>
        <w:gridCol w:w="773"/>
        <w:gridCol w:w="773"/>
        <w:gridCol w:w="773"/>
        <w:gridCol w:w="773"/>
        <w:gridCol w:w="7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Normal"/>
  </w:style>
  <w:style w:type="paragraph" w:customStyle="1" w:styleId="p">
    <w:name w:val="p"/>
    <w:basedOn w:val="Normal"/>
  </w:style>
  <w:style w:type="paragraph" w:customStyle="1" w:styleId="ListParagraph00">
    <w:name w:val="ListParagraph_0"/>
    <w:basedOn w:val="Normal"/>
    <w:rPr>
      <w:rFonts w:ascii="Calibri" w:eastAsia="Calibri" w:hAnsi="Calibri" w:cs="Calibri"/>
      <w:sz w:val="22"/>
      <w:szCs w:val="22"/>
    </w:rPr>
  </w:style>
  <w:style w:type="character" w:customStyle="1" w:styleId="Hyperlink0">
    <w:name w:val="Hyperlink_0"/>
    <w:basedOn w:val="normaltextrun"/>
    <w:rPr>
      <w:color w:val="0000FF"/>
    </w:rPr>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docs/qaa/quality-code/academic-credit-framework.pdf?sfvrsn=940bf781_12" TargetMode="External"/><Relationship Id="rId18"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quality-code/qualifications-frameworks.pdf" TargetMode="External"/><Relationship Id="rId17"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www.kingston.ac.uk" TargetMode="Externa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economics-15.pdf" TargetMode="External"/><Relationship Id="rId6" Type="http://schemas.openxmlformats.org/officeDocument/2006/relationships/customXml" Target="../customXml/item3.xml"/><Relationship Id="rId15" Type="http://schemas.openxmlformats.org/officeDocument/2006/relationships/footer" Target="footer1.xml"/><Relationship Id="rId10" Type="http://schemas.openxmlformats.org/officeDocument/2006/relationships/hyperlink" Target="https://www.qaa.ac.uk/docs/qaa/subject-benchmark-statements/sbs-business-and-management-15.pdf?sfvrsn=1997f681_16" TargetMode="External"/><Relationship Id="rId19" Type="http://schemas.openxmlformats.org/officeDocument/2006/relationships/styles" Target="styles.xml"/><Relationship Id="rId14" Type="http://schemas.openxmlformats.org/officeDocument/2006/relationships/hyperlink" Target="https://www.officeforstudents.org.uk/media/53821cbf-5779-4380-bf2a-aa8f5c53ecd4/sector-recognised-standards.pdf" TargetMode="External"/><Relationship Id="rId4" Type="http://schemas.openxmlformats.org/officeDocument/2006/relationships/customXml" Target="../customXml/item1.xml"/><Relationship Id="rId9" Type="http://schemas.openxmlformats.org/officeDocument/2006/relationships/hyperlink" Target="https://www.qaa.ac.uk/docs/qaa/subject-benchmark-statements/subject-benchmark-statement-business-and-management.pdf?sfvrsn=db39c881_5"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491548F-64F3-4EEB-B70D-857BBB7A068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