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Marketing Communications &amp; Advertising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30/06/2012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30/01/2024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16/09/2024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6</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Strategy, Marketing and Innovation</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Marketing Communications &amp; Advertising</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PgDip Marketing Communications &amp; Advertising</w:t>
            </w:r>
            <w:r>
              <w:br/>
            </w:r>
            <w:r w:rsidRPr="01DA1EA0" w:rsidR="12C816DE">
              <w:rPr>
                <w:rFonts w:ascii="Arial" w:hAnsi="Arial" w:cs="Arial"/>
                <w:sz w:val="22"/>
                <w:szCs w:val="22"/>
              </w:rPr>
              <w:t>PgCert in Marketing Studies</w:t>
            </w:r>
          </w:p>
          <w:p w:rsidR="72431AC7" w:rsidP="01DA1EA0" w14:paraId="59ABF227" w14:textId="338D9999">
            <w:r w:rsidRPr="01DA1EA0">
              <w:rPr>
                <w:rFonts w:ascii="Arial" w:hAnsi="Arial" w:cs="Arial"/>
                <w:sz w:val="22"/>
                <w:szCs w:val="22"/>
              </w:rPr>
              <w:t>PgCert Marketing Communications &amp; Advertising</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PFMCA1MCA02</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Business School, Faculty of Business and Social Sciences, 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 year</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p"/>
              <w:spacing w:before="0" w:after="0"/>
              <w:ind w:left="0" w:right="0"/>
              <w:rPr>
                <w:rStyle w:val="normaltextrun"/>
                <w:rFonts w:ascii="Arial" w:eastAsia="Arial" w:hAnsi="Arial" w:cs="Arial"/>
                <w:b/>
                <w:bCs/>
                <w:color w:val="000000"/>
                <w:sz w:val="22"/>
                <w:szCs w:val="22"/>
                <w:shd w:val="clear" w:color="auto" w:fill="FFFFFF"/>
              </w:rPr>
            </w:pPr>
          </w:p>
          <w:p w:rsidP="0BF386EB">
            <w:pPr>
              <w:pStyle w:val="cHons"/>
              <w:spacing w:before="120" w:after="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The minimum entry </w:t>
            </w:r>
            <w:r>
              <w:rPr>
                <w:rStyle w:val="normaltextrun"/>
                <w:rFonts w:ascii="Arial" w:eastAsia="Arial" w:hAnsi="Arial" w:cs="Arial"/>
                <w:b w:val="0"/>
                <w:bCs w:val="0"/>
                <w:color w:val="000000"/>
                <w:sz w:val="22"/>
                <w:szCs w:val="22"/>
                <w:shd w:val="clear" w:color="auto" w:fill="FFFFFF"/>
              </w:rPr>
              <w:t>qualification for the MSc</w:t>
            </w:r>
            <w:r>
              <w:rPr>
                <w:rStyle w:val="normaltextrun"/>
                <w:rFonts w:ascii="Arial" w:eastAsia="Arial" w:hAnsi="Arial" w:cs="Arial"/>
                <w:b w:val="0"/>
                <w:bCs w:val="0"/>
                <w:color w:val="000000"/>
                <w:sz w:val="22"/>
                <w:szCs w:val="22"/>
                <w:shd w:val="clear" w:color="auto" w:fill="FFFFFF"/>
              </w:rPr>
              <w:t xml:space="preserve"> Marketing Comm</w:t>
            </w:r>
            <w:r>
              <w:rPr>
                <w:rStyle w:val="normaltextrun"/>
                <w:rFonts w:ascii="Arial" w:eastAsia="Arial" w:hAnsi="Arial" w:cs="Arial"/>
                <w:b w:val="0"/>
                <w:bCs w:val="0"/>
                <w:color w:val="000000"/>
                <w:sz w:val="22"/>
                <w:szCs w:val="22"/>
                <w:shd w:val="clear" w:color="auto" w:fill="FFFFFF"/>
              </w:rPr>
              <w:t>unications and Advertising is</w:t>
            </w:r>
            <w:r>
              <w:rPr>
                <w:rStyle w:val="normaltextrun"/>
                <w:rFonts w:ascii="Arial" w:eastAsia="Arial" w:hAnsi="Arial" w:cs="Arial"/>
                <w:b w:val="0"/>
                <w:bCs w:val="0"/>
                <w:color w:val="000000"/>
                <w:sz w:val="22"/>
                <w:szCs w:val="22"/>
                <w:shd w:val="clear" w:color="auto" w:fill="FFFFFF"/>
              </w:rPr>
              <w:t xml:space="preserve"> a Bachelor</w:t>
            </w:r>
            <w:r>
              <w:rPr>
                <w:rStyle w:val="normaltextrun"/>
                <w:rFonts w:ascii="Arial" w:eastAsia="Arial" w:hAnsi="Arial" w:cs="Arial"/>
                <w:b w:val="0"/>
                <w:bCs w:val="0"/>
                <w:color w:val="000000"/>
                <w:sz w:val="22"/>
                <w:szCs w:val="22"/>
                <w:shd w:val="clear" w:color="auto" w:fill="FFFFFF"/>
              </w:rPr>
              <w:t>’</w:t>
            </w:r>
            <w:r>
              <w:rPr>
                <w:rStyle w:val="normaltextrun"/>
                <w:rFonts w:ascii="Arial" w:eastAsia="Arial" w:hAnsi="Arial" w:cs="Arial"/>
                <w:b w:val="0"/>
                <w:bCs w:val="0"/>
                <w:color w:val="000000"/>
                <w:sz w:val="22"/>
                <w:szCs w:val="22"/>
                <w:shd w:val="clear" w:color="auto" w:fill="FFFFFF"/>
              </w:rPr>
              <w:t xml:space="preserve">s degree in any discipline at </w:t>
            </w:r>
            <w:r>
              <w:rPr>
                <w:rStyle w:val="normaltextrun"/>
                <w:rFonts w:ascii="Arial" w:eastAsia="Arial" w:hAnsi="Arial" w:cs="Arial"/>
                <w:b w:val="0"/>
                <w:bCs w:val="0"/>
                <w:color w:val="000000"/>
                <w:sz w:val="22"/>
                <w:szCs w:val="22"/>
                <w:shd w:val="clear" w:color="auto" w:fill="FFFFFF"/>
              </w:rPr>
              <w:t xml:space="preserve">2:2 </w:t>
            </w:r>
            <w:r>
              <w:rPr>
                <w:rStyle w:val="normaltextrun"/>
                <w:rFonts w:ascii="Arial" w:eastAsia="Arial" w:hAnsi="Arial" w:cs="Arial"/>
                <w:b w:val="0"/>
                <w:bCs w:val="0"/>
                <w:color w:val="000000"/>
                <w:sz w:val="22"/>
                <w:szCs w:val="22"/>
                <w:shd w:val="clear" w:color="auto" w:fill="FFFFFF"/>
              </w:rPr>
              <w:t xml:space="preserve"> </w:t>
            </w:r>
            <w:r>
              <w:rPr>
                <w:rStyle w:val="normaltextrun"/>
                <w:rFonts w:ascii="Arial" w:eastAsia="Arial" w:hAnsi="Arial" w:cs="Arial"/>
                <w:b w:val="0"/>
                <w:bCs w:val="0"/>
                <w:color w:val="000000"/>
                <w:sz w:val="22"/>
                <w:szCs w:val="22"/>
                <w:shd w:val="clear" w:color="auto" w:fill="FFFFFF"/>
              </w:rPr>
              <w:t>honours</w:t>
            </w:r>
            <w:r>
              <w:rPr>
                <w:rStyle w:val="normaltextrun"/>
                <w:rFonts w:ascii="Arial" w:eastAsia="Arial" w:hAnsi="Arial" w:cs="Arial"/>
                <w:b w:val="0"/>
                <w:bCs w:val="0"/>
                <w:color w:val="000000"/>
                <w:sz w:val="22"/>
                <w:szCs w:val="22"/>
                <w:shd w:val="clear" w:color="auto" w:fill="FFFFFF"/>
              </w:rPr>
              <w:t xml:space="preserve"> degree</w:t>
            </w:r>
            <w:r>
              <w:rPr>
                <w:rStyle w:val="normaltextrun"/>
                <w:rFonts w:ascii="Arial" w:eastAsia="Arial" w:hAnsi="Arial" w:cs="Arial"/>
                <w:b w:val="0"/>
                <w:bCs w:val="0"/>
                <w:color w:val="000000"/>
                <w:sz w:val="22"/>
                <w:szCs w:val="22"/>
                <w:shd w:val="clear" w:color="auto" w:fill="FFFFFF"/>
              </w:rPr>
              <w:t xml:space="preserve"> level, or equivalent. </w:t>
            </w:r>
          </w:p>
          <w:p w:rsidP="0BF386EB">
            <w:pPr>
              <w:pStyle w:val="cHons"/>
              <w:spacing w:before="120" w:after="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Holders of overseas degree qualifications are subject to the University's normal entry procedures with regard to the assessment of the equival</w:t>
            </w:r>
            <w:r>
              <w:rPr>
                <w:rStyle w:val="normaltextrun"/>
                <w:rFonts w:ascii="Arial" w:eastAsia="Arial" w:hAnsi="Arial" w:cs="Arial"/>
                <w:b w:val="0"/>
                <w:bCs w:val="0"/>
                <w:color w:val="000000"/>
                <w:sz w:val="22"/>
                <w:szCs w:val="22"/>
                <w:shd w:val="clear" w:color="auto" w:fill="FFFFFF"/>
              </w:rPr>
              <w:t>ence of overseas qualifications. Typically a Grade Point Average in excess of 3 might be appropriate, subject to the standing of the awarding institution.</w:t>
            </w:r>
          </w:p>
          <w:p w:rsidP="0BF386EB">
            <w:pPr>
              <w:pStyle w:val="cHons"/>
              <w:spacing w:before="120" w:after="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Candidates with non-standard qualifications will be considered. Evidence of satisfactory knowledge of</w:t>
            </w:r>
            <w:r>
              <w:rPr>
                <w:rStyle w:val="normaltextrun"/>
                <w:rFonts w:ascii="Arial" w:eastAsia="Arial" w:hAnsi="Arial" w:cs="Arial"/>
                <w:b w:val="0"/>
                <w:bCs w:val="0"/>
                <w:color w:val="000000"/>
                <w:sz w:val="22"/>
                <w:szCs w:val="22"/>
                <w:shd w:val="clear" w:color="auto" w:fill="FFFFFF"/>
              </w:rPr>
              <w:t xml:space="preserve"> the foundation subjects through the possession of an appropriate qualification, training, or work experience will be required.</w:t>
            </w:r>
          </w:p>
          <w:p w:rsidP="0BF386EB">
            <w:pPr>
              <w:pStyle w:val="cHons"/>
              <w:spacing w:before="120" w:after="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International students whose first language is not English shall normally be required to demonstrate evidence of satisfactory co</w:t>
            </w:r>
            <w:r>
              <w:rPr>
                <w:rStyle w:val="normaltextrun"/>
                <w:rFonts w:ascii="Arial" w:eastAsia="Arial" w:hAnsi="Arial" w:cs="Arial"/>
                <w:b w:val="0"/>
                <w:bCs w:val="0"/>
                <w:color w:val="000000"/>
                <w:sz w:val="22"/>
                <w:szCs w:val="22"/>
                <w:shd w:val="clear" w:color="auto" w:fill="FFFFFF"/>
              </w:rPr>
              <w:t>mpetence by holding one of the following recognised qualifications:</w:t>
            </w:r>
          </w:p>
          <w:p w:rsidP="0BF386EB">
            <w:pPr>
              <w:pStyle w:val="cHons"/>
              <w:numPr>
                <w:ilvl w:val="0"/>
                <w:numId w:val="12"/>
              </w:numPr>
              <w:pBdr>
                <w:left w:val="none" w:sz="0" w:space="8" w:color="auto"/>
              </w:pBdr>
              <w:spacing w:before="0" w:after="0"/>
              <w:ind w:left="714" w:right="0" w:hanging="522"/>
              <w:jc w:val="both"/>
              <w:rPr>
                <w:rStyle w:val="normaltextrun"/>
                <w:rFonts w:ascii="Times New Roman" w:eastAsia="Times New Roman" w:hAnsi="Times New Roman" w:cs="Times New Roman"/>
                <w:b w:val="0"/>
                <w:bCs w:val="0"/>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British Council International English Language Testing Service (IELTS) test with an overall score of 6.5</w:t>
            </w:r>
            <w:r>
              <w:rPr>
                <w:rStyle w:val="normaltextrun"/>
                <w:rFonts w:ascii="Arial" w:eastAsia="Arial" w:hAnsi="Arial" w:cs="Arial"/>
                <w:b w:val="0"/>
                <w:bCs w:val="0"/>
                <w:color w:val="000000"/>
                <w:sz w:val="22"/>
                <w:szCs w:val="22"/>
                <w:shd w:val="clear" w:color="auto" w:fill="FFFFFF"/>
              </w:rPr>
              <w:t xml:space="preserve"> and no individual element lower than 6.0.</w:t>
            </w:r>
            <w:r>
              <w:rPr>
                <w:rStyle w:val="normaltextrun"/>
                <w:rFonts w:ascii="Arial" w:eastAsia="Arial" w:hAnsi="Arial" w:cs="Arial"/>
                <w:b w:val="0"/>
                <w:bCs w:val="0"/>
                <w:color w:val="000000"/>
                <w:sz w:val="22"/>
                <w:szCs w:val="22"/>
                <w:shd w:val="clear" w:color="auto" w:fill="FFFFFF"/>
              </w:rPr>
              <w:t xml:space="preserve"> (Those students with IELTS of less than 6</w:t>
            </w:r>
            <w:r>
              <w:rPr>
                <w:rStyle w:val="normaltextrun"/>
                <w:rFonts w:ascii="Arial" w:eastAsia="Arial" w:hAnsi="Arial" w:cs="Arial"/>
                <w:b w:val="0"/>
                <w:bCs w:val="0"/>
                <w:color w:val="000000"/>
                <w:sz w:val="22"/>
                <w:szCs w:val="22"/>
                <w:shd w:val="clear" w:color="auto" w:fill="FFFFFF"/>
              </w:rPr>
              <w:t>.5 or equivalent may be considered if they agree to attend a pre-sessional English Language Course run by Kingston University);</w:t>
            </w:r>
          </w:p>
          <w:p w:rsidP="0BF386EB">
            <w:pPr>
              <w:pStyle w:val="cHons"/>
              <w:numPr>
                <w:ilvl w:val="0"/>
                <w:numId w:val="12"/>
              </w:numPr>
              <w:pBdr>
                <w:left w:val="none" w:sz="0" w:space="8" w:color="auto"/>
              </w:pBdr>
              <w:spacing w:before="0" w:after="0"/>
              <w:ind w:left="714" w:right="0" w:hanging="522"/>
              <w:jc w:val="both"/>
              <w:rPr>
                <w:rStyle w:val="normaltextrun"/>
                <w:rFonts w:ascii="Times New Roman" w:eastAsia="Times New Roman" w:hAnsi="Times New Roman" w:cs="Times New Roman"/>
                <w:b w:val="0"/>
                <w:bCs w:val="0"/>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Test in English as a Foreign Language (TOEFL Test) with a minimum score of 600 with a written English test score of 6; </w:t>
            </w:r>
          </w:p>
          <w:p w:rsidP="0BF386EB">
            <w:pPr>
              <w:pStyle w:val="cHons"/>
              <w:numPr>
                <w:ilvl w:val="0"/>
                <w:numId w:val="12"/>
              </w:numPr>
              <w:pBdr>
                <w:left w:val="none" w:sz="0" w:space="8" w:color="auto"/>
              </w:pBdr>
              <w:spacing w:before="0" w:after="0"/>
              <w:ind w:left="714" w:right="0" w:hanging="522"/>
              <w:jc w:val="both"/>
              <w:rPr>
                <w:rStyle w:val="normaltextrun"/>
                <w:rFonts w:ascii="Times New Roman" w:eastAsia="Times New Roman" w:hAnsi="Times New Roman" w:cs="Times New Roman"/>
                <w:b w:val="0"/>
                <w:bCs w:val="0"/>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Computer</w:t>
            </w:r>
            <w:r>
              <w:rPr>
                <w:rStyle w:val="normaltextrun"/>
                <w:rFonts w:ascii="Arial" w:eastAsia="Arial" w:hAnsi="Arial" w:cs="Arial"/>
                <w:b w:val="0"/>
                <w:bCs w:val="0"/>
                <w:color w:val="000000"/>
                <w:sz w:val="22"/>
                <w:szCs w:val="22"/>
                <w:shd w:val="clear" w:color="auto" w:fill="FFFFFF"/>
              </w:rPr>
              <w:t xml:space="preserve"> based test in English as a Foreign Language (TOEFL test) with a minimum </w:t>
            </w:r>
            <w:r>
              <w:rPr>
                <w:rStyle w:val="normaltextrun"/>
                <w:rFonts w:ascii="Arial" w:eastAsia="Arial" w:hAnsi="Arial" w:cs="Arial"/>
                <w:b w:val="0"/>
                <w:bCs w:val="0"/>
                <w:color w:val="000000"/>
                <w:sz w:val="22"/>
                <w:szCs w:val="22"/>
                <w:shd w:val="clear" w:color="auto" w:fill="FFFFFF"/>
              </w:rPr>
              <w:t xml:space="preserve">score of 250; </w:t>
            </w:r>
          </w:p>
          <w:p w:rsidP="0BF386EB">
            <w:pPr>
              <w:pStyle w:val="cHons"/>
              <w:numPr>
                <w:ilvl w:val="0"/>
                <w:numId w:val="12"/>
              </w:numPr>
              <w:pBdr>
                <w:left w:val="none" w:sz="0" w:space="8" w:color="auto"/>
              </w:pBdr>
              <w:spacing w:before="0" w:after="0"/>
              <w:ind w:left="714" w:right="0" w:hanging="522"/>
              <w:jc w:val="both"/>
              <w:rPr>
                <w:rStyle w:val="normaltextrun"/>
                <w:rFonts w:ascii="Times New Roman" w:eastAsia="Times New Roman" w:hAnsi="Times New Roman" w:cs="Times New Roman"/>
                <w:b w:val="0"/>
                <w:bCs w:val="0"/>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Internet based TOEFL test with a minimum score of 90.</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Times New Roman" w:eastAsia="Times New Roman" w:hAnsi="Times New Roman" w:cs="Times New Roman"/>
                <w:color w:val="000000"/>
                <w:sz w:val="22"/>
                <w:szCs w:val="22"/>
                <w:shd w:val="clear" w:color="auto" w:fill="FFFFFF"/>
              </w:rPr>
              <w:tab/>
            </w:r>
            <w:r>
              <w:rPr>
                <w:rStyle w:val="normaltextrun"/>
                <w:rFonts w:ascii="Times New Roman" w:eastAsia="Times New Roman" w:hAnsi="Times New Roman" w:cs="Times New Roman"/>
                <w:color w:val="000000"/>
                <w:sz w:val="22"/>
                <w:szCs w:val="22"/>
                <w:shd w:val="clear" w:color="auto" w:fill="FFFFFF"/>
              </w:rPr>
              <w:tab/>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AACSB</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Master</w:t>
            </w:r>
            <w:r>
              <w:rPr>
                <w:rStyle w:val="normaltextrun"/>
                <w:rFonts w:ascii="Arial" w:eastAsia="Arial" w:hAnsi="Arial" w:cs="Arial"/>
                <w:color w:val="000000"/>
                <w:sz w:val="22"/>
                <w:szCs w:val="22"/>
                <w:shd w:val="clear" w:color="auto" w:fill="FFFFFF"/>
              </w:rPr>
              <w:t xml:space="preserve">s Awards in Business and Management </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This programme is approved to use 15-credit modules.</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i/>
          <w:iCs/>
          <w:color w:val="000000" w:themeColor="text1"/>
          <w:shd w:val="clear" w:color="auto" w:fill="FFFFFF"/>
        </w:rPr>
        <w: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Kingston MSc Marketing Communications &amp; Advertising programme is designed for graduates of any discipline who want to pursue a career in marketing communications, in areas such as advertising, public relations, sales promotion or direct marketing. The programme draws on Kingston Business School’s long and highly respected track record of providing marketing education. On graduating from this programme you will join a large and prestigious group of alumni, many of whom hold senior positions in organisations all over the world.</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Our MSc Marketing Communications &amp; Advertising programme is underpinned by current theory, utilising the latest research in marketing communications. It is not just about theory, however, and the practitioner perspective is integrated throughout the programme via case studies, guest speakers, projects, competitions and industry workshops.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distinctive features of this programme are the Marketing Communications &amp; Advertising, Interactive Communications and Public Relations modules which deliver the specialist subject matter. In addition, you will study modules covering the fundamentals of marketing management and buyer behaviour together with modules designed to equip you with the necessary knowledge and skills required for advanced, independent research in the form of a dissertation. Throughout the programme, students are encouraged to engage with current issues of global concern such as ethics, sustainability and social responsibility, and to examine how these relate to contemporary marketing communications and advertising practice.</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The 2 – year version of the programme also helps develop employment-ready students through an integrated business experience in the form of a one-year work placement.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This integrated placement provides students with an exciting opportunity to apply and develop their knowledge and skills in a real-world setting, which enables them to develop their self-confidence and strengthen their CV.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specific aims of the programme are:</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w:t>
      </w:r>
      <w:r w:rsidRPr="007C4290">
        <w:rPr>
          <w:rStyle w:val="normaltextrun"/>
          <w:rFonts w:ascii="Arial" w:hAnsi="Arial" w:cs="Arial"/>
          <w:color w:val="000000" w:themeColor="text1"/>
          <w:shd w:val="clear" w:color="auto" w:fill="FFFFFF"/>
        </w:rPr>
        <w:t>provide</w:t>
      </w:r>
      <w:r w:rsidRPr="007C4290">
        <w:rPr>
          <w:rStyle w:val="normaltextrun"/>
          <w:rFonts w:ascii="Arial" w:hAnsi="Arial" w:cs="Arial"/>
          <w:color w:val="000000" w:themeColor="text1"/>
          <w:shd w:val="clear" w:color="auto" w:fill="FFFFFF"/>
        </w:rPr>
        <w:t xml:space="preserve"> an in-depth understanding of the concepts of marketing communications and </w:t>
      </w:r>
      <w:r w:rsidRPr="007C4290">
        <w:rPr>
          <w:rStyle w:val="normaltextrun"/>
          <w:rFonts w:ascii="Arial" w:hAnsi="Arial" w:cs="Arial"/>
          <w:color w:val="000000" w:themeColor="text1"/>
          <w:shd w:val="clear" w:color="auto" w:fill="FFFFFF"/>
        </w:rPr>
        <w:t>advertising</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within the context of marketing management</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subject-relat</w:t>
      </w:r>
      <w:r w:rsidRPr="007C4290">
        <w:rPr>
          <w:rStyle w:val="normaltextrun"/>
          <w:rFonts w:ascii="Arial" w:hAnsi="Arial" w:cs="Arial"/>
          <w:color w:val="000000" w:themeColor="text1"/>
          <w:shd w:val="clear" w:color="auto" w:fill="FFFFFF"/>
        </w:rPr>
        <w:t>ed practical skills</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research specific areas of marketing communications and advertising in depth, via modules and, more specifically, the dissertation</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equip students with the necessary skills to make an immediate effective contribu</w:t>
      </w:r>
      <w:r w:rsidRPr="007C4290">
        <w:rPr>
          <w:rStyle w:val="normaltextrun"/>
          <w:rFonts w:ascii="Arial" w:hAnsi="Arial" w:cs="Arial"/>
          <w:color w:val="000000" w:themeColor="text1"/>
          <w:shd w:val="clear" w:color="auto" w:fill="FFFFFF"/>
        </w:rPr>
        <w:t>tion upon their employment in marketing communications and advertising.</w:t>
      </w:r>
    </w:p>
    <w:p w:rsidRPr="007C4290" w:rsidP="00A92C9B">
      <w:pPr>
        <w:pStyle w:val="ListParagraph"/>
        <w:numPr>
          <w:ilvl w:val="0"/>
          <w:numId w:val="13"/>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Give students a head start on the employment ladder, preparing them for employment, further study and lifelong learning</w:t>
      </w:r>
    </w:p>
    <w:p w:rsidRPr="007C4290" w:rsidP="00A92C9B">
      <w:pPr>
        <w:pStyle w:val="ListParagraph"/>
        <w:ind w:left="1004"/>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120"/>
        <w:ind w:left="0" w:right="0"/>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The programme provides opportuniti</w:t>
      </w:r>
      <w:r w:rsidRPr="007C4290">
        <w:rPr>
          <w:rStyle w:val="normaltextrun"/>
          <w:rFonts w:ascii="Arial" w:eastAsia="Arial" w:hAnsi="Arial" w:cs="Arial"/>
          <w:color w:val="000000" w:themeColor="text1"/>
          <w:sz w:val="22"/>
          <w:szCs w:val="22"/>
          <w:shd w:val="clear" w:color="auto" w:fill="FFFFFF"/>
        </w:rPr>
        <w:t>es for students to develop and demonstrate knowledge and understanding, skills and other attributes in the following areas. The programme outcomes are referenced to the QAA subject benchmarks for Business and Management and the Framework for Higher Educati</w:t>
      </w:r>
      <w:r w:rsidRPr="007C4290">
        <w:rPr>
          <w:rStyle w:val="normaltextrun"/>
          <w:rFonts w:ascii="Arial" w:eastAsia="Arial" w:hAnsi="Arial" w:cs="Arial"/>
          <w:color w:val="000000" w:themeColor="text1"/>
          <w:sz w:val="22"/>
          <w:szCs w:val="22"/>
          <w:shd w:val="clear" w:color="auto" w:fill="FFFFFF"/>
        </w:rPr>
        <w:t>on Qualifications in England, Wales and Northern Ireland (2008), and relate to the typical student.</w:t>
      </w:r>
    </w:p>
    <w:p w:rsidRPr="007C4290" w:rsidP="00917A90">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Arial" w:eastAsia="Arial" w:hAnsi="Arial" w:cs="Arial"/>
          <w:color w:val="000000" w:themeColor="text1"/>
          <w:sz w:val="22"/>
          <w:szCs w:val="22"/>
          <w:shd w:val="clear" w:color="auto" w:fill="FFFFFF"/>
        </w:rPr>
      </w:pP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awareness and understanding of current issues of global concern such as sustainability, ethics and social responsibility and how these relate to contemporary marketing communications and advertising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marketing communications and advertising problems and issues in order to produce recommendations for decision and subsequent action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Communicate the results of independent research</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Identify, source, critically appraise and apply the latest research approaches and literature in the subject area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Plan, conduct and report on an individual research project on a marketing communications or advertising topic</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appropriate ICT software in the analysis and reporting of both quantitative and qualitative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the methodological issues in marketing communications and advertising and the ability to apply this knowledge to the analysis and evaluation of marketing communications and advertising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Think in a critically reflective and creative manner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Assemble and analyse qualitative and quantitative data (as appropriate) from a wide variety of sources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the role of marketing communications, and within this the role of advertising, and appraise these roles in the organisational environment and within the overall context of marketing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appraise relevant knowledge in the fields of marketing communications and advertising and apply it to the solution of complex marketing communications and advertising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Plan and conduct independent research</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Critically reflect upon and demonstrate an advanced level of understanding of the theoretical frameworks relevant to marketing communications and advertising decisions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Organise and synthesise complex information from a variety of data sources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Operate as flexible and skilled business professionals.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programme consists of seven modules, two at 30 credit points, four at 15 credit points and one at 60 credit points. A student must complete 180 credits for a Masters degree. All students will be provided with the University regulations. Full details of each module is provided in the module descriptors and student module handbooks.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Due to the nature of the degree, which provides students with a range of opportunities and the business experience within a two-year period, the course is intensive and requires hard work and dedication.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on the 2 year placement version of the programme should complete all of their taught modules and their project or dissertation by the end of September, and work in their placement area for a maximum of 12 months, starting in October. The student should confirm that their placement opportunity is available by the end of July 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Marketing Communications &amp; Advertising</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Marketing Communications &amp; Advertising</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Buyer Behaviour</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BM7005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DIGITAL COMMUNICATIONS AND ANALYTICS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BM7034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GLOBAL MARKETING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BM7017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MARKET RESEARCH AND DATA ANALYSIS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BM7024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Marketing Communications and Advertising Strategy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BM7036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BA7777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TB3- TB1 – 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PUBLIC RELATIONS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BM7302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Proposal and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BM7026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numPr>
          <w:ilvl w:val="0"/>
          <w:numId w:val="14"/>
        </w:numPr>
        <w:ind w:left="720" w:hanging="360"/>
        <w:jc w:val="left"/>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Students exiting the programme with 120 credits are eligible for the award of PgDip in Marketing Communications and Advertising.</w:t>
      </w:r>
    </w:p>
    <w:p w:rsidRPr="66934EB1" w:rsidP="66934EB1">
      <w:pPr>
        <w:numPr>
          <w:ilvl w:val="0"/>
          <w:numId w:val="14"/>
        </w:numPr>
        <w:ind w:left="720" w:hanging="360"/>
        <w:jc w:val="left"/>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 xml:space="preserve">Students exiting the programme with 60 credits are eligible for the award of PgCert. </w:t>
      </w:r>
    </w:p>
    <w:p w:rsidRPr="66934EB1" w:rsidP="66934EB1">
      <w:pPr>
        <w:numPr>
          <w:ilvl w:val="1"/>
          <w:numId w:val="14"/>
        </w:numPr>
        <w:ind w:left="1440" w:hanging="360"/>
        <w:jc w:val="left"/>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The 30 credit Marketing Communications Strategy module OR the 15 credit Public Relations PLUS the 15 credit Digital Communications and Analytics modules must be passed to be eligible for the award of PgCert in Marketing Communications &amp; Advertising</w:t>
      </w:r>
    </w:p>
    <w:p w:rsidRPr="66934EB1" w:rsidP="66934EB1">
      <w:pPr>
        <w:numPr>
          <w:ilvl w:val="1"/>
          <w:numId w:val="14"/>
        </w:numPr>
        <w:ind w:left="1440" w:hanging="360"/>
        <w:jc w:val="left"/>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If not, students will be eligible for the award of PgCert in Marketing Studies.</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cHons"/>
        <w:spacing w:before="0" w:after="120"/>
        <w:ind w:left="36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teaching and learning philosophy of the programme is to engage s</w:t>
      </w:r>
      <w:r w:rsidRPr="503DC450">
        <w:rPr>
          <w:rFonts w:ascii="Arial" w:eastAsia="Arial" w:hAnsi="Arial" w:cs="Arial"/>
          <w:b w:val="0"/>
          <w:bCs w:val="0"/>
          <w:sz w:val="22"/>
          <w:szCs w:val="22"/>
        </w:rPr>
        <w:t>tud</w:t>
      </w:r>
      <w:r w:rsidRPr="503DC450">
        <w:rPr>
          <w:rFonts w:ascii="Arial" w:eastAsia="Arial" w:hAnsi="Arial" w:cs="Arial"/>
          <w:b w:val="0"/>
          <w:bCs w:val="0"/>
          <w:sz w:val="22"/>
          <w:szCs w:val="22"/>
        </w:rPr>
        <w:t xml:space="preserve">ents </w:t>
      </w:r>
      <w:r w:rsidRPr="503DC450">
        <w:rPr>
          <w:rFonts w:ascii="Arial" w:eastAsia="Arial" w:hAnsi="Arial" w:cs="Arial"/>
          <w:b w:val="0"/>
          <w:bCs w:val="0"/>
          <w:sz w:val="22"/>
          <w:szCs w:val="22"/>
        </w:rPr>
        <w:t>actively and to enable students to demonstrate their ability to study independently and work in groups on Masters level tasks.</w:t>
      </w:r>
    </w:p>
    <w:p w:rsidRPr="503DC450" w:rsidP="007D20BC">
      <w:pPr>
        <w:pStyle w:val="cHons"/>
        <w:spacing w:before="0" w:after="120"/>
        <w:ind w:left="36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range of teaching strategies will include lectures, workshops, seminars, presentations, action learning sets, and ind</w:t>
      </w:r>
      <w:r w:rsidRPr="503DC450">
        <w:rPr>
          <w:rFonts w:ascii="Arial" w:eastAsia="Arial" w:hAnsi="Arial" w:cs="Arial"/>
          <w:b w:val="0"/>
          <w:bCs w:val="0"/>
          <w:sz w:val="22"/>
          <w:szCs w:val="22"/>
        </w:rPr>
        <w:t>ivi</w:t>
      </w:r>
      <w:r w:rsidRPr="503DC450">
        <w:rPr>
          <w:rFonts w:ascii="Arial" w:eastAsia="Arial" w:hAnsi="Arial" w:cs="Arial"/>
          <w:b w:val="0"/>
          <w:bCs w:val="0"/>
          <w:sz w:val="22"/>
          <w:szCs w:val="22"/>
        </w:rPr>
        <w:t xml:space="preserve">dual </w:t>
      </w:r>
      <w:r w:rsidRPr="503DC450">
        <w:rPr>
          <w:rFonts w:ascii="Arial" w:eastAsia="Arial" w:hAnsi="Arial" w:cs="Arial"/>
          <w:b w:val="0"/>
          <w:bCs w:val="0"/>
          <w:sz w:val="22"/>
          <w:szCs w:val="22"/>
        </w:rPr>
        <w:t xml:space="preserve">personal supervision. </w:t>
      </w:r>
    </w:p>
    <w:p w:rsidRPr="503DC450" w:rsidP="007D20BC">
      <w:pPr>
        <w:pStyle w:val="cHons"/>
        <w:spacing w:before="0" w:after="120"/>
        <w:ind w:left="36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assessment arrangements for this programme are based on an appropriate mix of assessment approaches. The rationale for formal examinations is to assess economically and effectively individually acquired knowledge in a tim</w:t>
      </w:r>
      <w:r w:rsidRPr="503DC450">
        <w:rPr>
          <w:rFonts w:ascii="Arial" w:eastAsia="Arial" w:hAnsi="Arial" w:cs="Arial"/>
          <w:b w:val="0"/>
          <w:bCs w:val="0"/>
          <w:sz w:val="22"/>
          <w:szCs w:val="22"/>
        </w:rPr>
        <w:t>e-c</w:t>
      </w:r>
      <w:r w:rsidRPr="503DC450">
        <w:rPr>
          <w:rFonts w:ascii="Arial" w:eastAsia="Arial" w:hAnsi="Arial" w:cs="Arial"/>
          <w:b w:val="0"/>
          <w:bCs w:val="0"/>
          <w:sz w:val="22"/>
          <w:szCs w:val="22"/>
        </w:rPr>
        <w:t>onstr</w:t>
      </w:r>
      <w:r w:rsidRPr="503DC450">
        <w:rPr>
          <w:rFonts w:ascii="Arial" w:eastAsia="Arial" w:hAnsi="Arial" w:cs="Arial"/>
          <w:b w:val="0"/>
          <w:bCs w:val="0"/>
          <w:sz w:val="22"/>
          <w:szCs w:val="22"/>
        </w:rPr>
        <w:t>ained environment. The rationale for time-limited and continuous assessment is to</w:t>
      </w:r>
      <w:r w:rsidRPr="503DC450">
        <w:rPr>
          <w:rFonts w:ascii="Arial" w:eastAsia="Arial" w:hAnsi="Arial" w:cs="Arial"/>
          <w:b w:val="0"/>
          <w:bCs w:val="0"/>
          <w:sz w:val="22"/>
          <w:szCs w:val="22"/>
        </w:rPr>
        <w:t xml:space="preserve"> additionally support a student</w:t>
      </w:r>
      <w:r w:rsidRPr="503DC450">
        <w:rPr>
          <w:rFonts w:ascii="Arial" w:eastAsia="Arial" w:hAnsi="Arial" w:cs="Arial"/>
          <w:b w:val="0"/>
          <w:bCs w:val="0"/>
          <w:sz w:val="22"/>
          <w:szCs w:val="22"/>
        </w:rPr>
        <w:noBreakHyphen/>
      </w:r>
      <w:r w:rsidRPr="503DC450">
        <w:rPr>
          <w:rFonts w:ascii="Arial" w:eastAsia="Arial" w:hAnsi="Arial" w:cs="Arial"/>
          <w:b w:val="0"/>
          <w:bCs w:val="0"/>
          <w:sz w:val="22"/>
          <w:szCs w:val="22"/>
        </w:rPr>
        <w:t>centered learning approach, in which the student's ability to write (in such formats as essays, reports, industry briefing papers and r</w:t>
      </w:r>
      <w:r w:rsidRPr="503DC450">
        <w:rPr>
          <w:rFonts w:ascii="Arial" w:eastAsia="Arial" w:hAnsi="Arial" w:cs="Arial"/>
          <w:b w:val="0"/>
          <w:bCs w:val="0"/>
          <w:sz w:val="22"/>
          <w:szCs w:val="22"/>
        </w:rPr>
        <w:t>efl</w:t>
      </w:r>
      <w:r w:rsidRPr="503DC450">
        <w:rPr>
          <w:rFonts w:ascii="Arial" w:eastAsia="Arial" w:hAnsi="Arial" w:cs="Arial"/>
          <w:b w:val="0"/>
          <w:bCs w:val="0"/>
          <w:sz w:val="22"/>
          <w:szCs w:val="22"/>
        </w:rPr>
        <w:t>ectiv</w:t>
      </w:r>
      <w:r w:rsidRPr="503DC450">
        <w:rPr>
          <w:rFonts w:ascii="Arial" w:eastAsia="Arial" w:hAnsi="Arial" w:cs="Arial"/>
          <w:b w:val="0"/>
          <w:bCs w:val="0"/>
          <w:sz w:val="22"/>
          <w:szCs w:val="22"/>
        </w:rPr>
        <w:t xml:space="preserve">e statements) and to offer evidence of in-depth research and analysis, will be assessed. </w:t>
      </w:r>
    </w:p>
    <w:p w:rsidRPr="503DC450" w:rsidP="007D20BC">
      <w:pPr>
        <w:pStyle w:val="cHons"/>
        <w:spacing w:before="0" w:after="120"/>
        <w:ind w:left="36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Assessment is planned to reflect the aims and to achieve the learning outcomes of the programme. It is designed to monitor student performance regularly in th</w:t>
      </w:r>
      <w:r w:rsidRPr="503DC450">
        <w:rPr>
          <w:rFonts w:ascii="Arial" w:eastAsia="Arial" w:hAnsi="Arial" w:cs="Arial"/>
          <w:b w:val="0"/>
          <w:bCs w:val="0"/>
          <w:sz w:val="22"/>
          <w:szCs w:val="22"/>
        </w:rPr>
        <w:t>e c</w:t>
      </w:r>
      <w:r w:rsidRPr="503DC450">
        <w:rPr>
          <w:rFonts w:ascii="Arial" w:eastAsia="Arial" w:hAnsi="Arial" w:cs="Arial"/>
          <w:b w:val="0"/>
          <w:bCs w:val="0"/>
          <w:sz w:val="22"/>
          <w:szCs w:val="22"/>
        </w:rPr>
        <w:t>ontex</w:t>
      </w:r>
      <w:r w:rsidRPr="503DC450">
        <w:rPr>
          <w:rFonts w:ascii="Arial" w:eastAsia="Arial" w:hAnsi="Arial" w:cs="Arial"/>
          <w:b w:val="0"/>
          <w:bCs w:val="0"/>
          <w:sz w:val="22"/>
          <w:szCs w:val="22"/>
        </w:rPr>
        <w:t>t of specific requirements of individual subjects, the personal and group management skills required in business, the theoretical background and applied skills necessary for effective use of business tools and ultimately the knowledge and skills es</w:t>
      </w:r>
      <w:r w:rsidRPr="503DC450">
        <w:rPr>
          <w:rFonts w:ascii="Arial" w:eastAsia="Arial" w:hAnsi="Arial" w:cs="Arial"/>
          <w:b w:val="0"/>
          <w:bCs w:val="0"/>
          <w:sz w:val="22"/>
          <w:szCs w:val="22"/>
        </w:rPr>
        <w:t>sen</w:t>
      </w:r>
      <w:r w:rsidRPr="503DC450">
        <w:rPr>
          <w:rFonts w:ascii="Arial" w:eastAsia="Arial" w:hAnsi="Arial" w:cs="Arial"/>
          <w:b w:val="0"/>
          <w:bCs w:val="0"/>
          <w:sz w:val="22"/>
          <w:szCs w:val="22"/>
        </w:rPr>
        <w:t xml:space="preserve">tial </w:t>
      </w:r>
      <w:r w:rsidRPr="503DC450">
        <w:rPr>
          <w:rFonts w:ascii="Arial" w:eastAsia="Arial" w:hAnsi="Arial" w:cs="Arial"/>
          <w:b w:val="0"/>
          <w:bCs w:val="0"/>
          <w:sz w:val="22"/>
          <w:szCs w:val="22"/>
        </w:rPr>
        <w:t>to meet the o</w:t>
      </w:r>
      <w:r w:rsidRPr="503DC450">
        <w:rPr>
          <w:rFonts w:ascii="Arial" w:eastAsia="Arial" w:hAnsi="Arial" w:cs="Arial"/>
          <w:b w:val="0"/>
          <w:bCs w:val="0"/>
          <w:sz w:val="22"/>
          <w:szCs w:val="22"/>
        </w:rPr>
        <w:t>verall requirements of a Master</w:t>
      </w:r>
      <w:r w:rsidRPr="503DC450">
        <w:rPr>
          <w:rFonts w:ascii="Arial" w:eastAsia="Arial" w:hAnsi="Arial" w:cs="Arial"/>
          <w:b w:val="0"/>
          <w:bCs w:val="0"/>
          <w:sz w:val="22"/>
          <w:szCs w:val="22"/>
        </w:rPr>
        <w:t xml:space="preserve">s degree. </w:t>
      </w:r>
    </w:p>
    <w:p w:rsidRPr="503DC450" w:rsidP="007D20BC">
      <w:pPr>
        <w:pStyle w:val="cHons"/>
        <w:spacing w:before="0" w:after="120"/>
        <w:ind w:left="36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See Module descriptors directory set for a more detailed discussion of the assessment for each module.</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pStyle w:val="p"/>
        <w:spacing w:before="0" w:after="0"/>
        <w:ind w:left="0" w:right="0"/>
        <w:rPr>
          <w:rFonts w:ascii="Arial" w:eastAsia="Arial" w:hAnsi="Arial" w:cs="Arial"/>
          <w:b/>
          <w:bCs/>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Students are supported by: </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Module leader for e</w:t>
      </w:r>
      <w:r w:rsidRPr="503DC450">
        <w:rPr>
          <w:rFonts w:ascii="Arial" w:eastAsia="Arial" w:hAnsi="Arial" w:cs="Arial"/>
          <w:b w:val="0"/>
          <w:bCs w:val="0"/>
          <w:sz w:val="22"/>
          <w:szCs w:val="22"/>
        </w:rPr>
        <w:t>ach</w:t>
      </w:r>
      <w:r w:rsidRPr="503DC450">
        <w:rPr>
          <w:rFonts w:ascii="Arial" w:eastAsia="Arial" w:hAnsi="Arial" w:cs="Arial"/>
          <w:b w:val="0"/>
          <w:bCs w:val="0"/>
          <w:sz w:val="22"/>
          <w:szCs w:val="22"/>
        </w:rPr>
        <w:t xml:space="preserve"> modu</w:t>
      </w:r>
      <w:r w:rsidRPr="503DC450">
        <w:rPr>
          <w:rFonts w:ascii="Arial" w:eastAsia="Arial" w:hAnsi="Arial" w:cs="Arial"/>
          <w:b w:val="0"/>
          <w:bCs w:val="0"/>
          <w:sz w:val="22"/>
          <w:szCs w:val="22"/>
        </w:rPr>
        <w:t xml:space="preserve">le </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A personal tutor to advise on academic and non-academic issues. In the first week of the programme, students write a personal statement for their tutor.</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A</w:t>
      </w:r>
      <w:r w:rsidRPr="503DC450">
        <w:rPr>
          <w:rFonts w:ascii="Arial" w:eastAsia="Arial" w:hAnsi="Arial" w:cs="Arial"/>
          <w:b w:val="0"/>
          <w:bCs w:val="0"/>
          <w:sz w:val="22"/>
          <w:szCs w:val="22"/>
        </w:rPr>
        <w:t>n</w:t>
      </w:r>
      <w:r w:rsidRPr="503DC450">
        <w:rPr>
          <w:rFonts w:ascii="Arial" w:eastAsia="Arial" w:hAnsi="Arial" w:cs="Arial"/>
          <w:b w:val="0"/>
          <w:bCs w:val="0"/>
          <w:sz w:val="22"/>
          <w:szCs w:val="22"/>
        </w:rPr>
        <w:t xml:space="preserve"> </w:t>
      </w:r>
      <w:r w:rsidRPr="503DC450">
        <w:rPr>
          <w:rFonts w:ascii="Arial" w:eastAsia="Arial" w:hAnsi="Arial" w:cs="Arial"/>
          <w:b w:val="0"/>
          <w:bCs w:val="0"/>
          <w:sz w:val="22"/>
          <w:szCs w:val="22"/>
        </w:rPr>
        <w:t>academic</w:t>
      </w:r>
      <w:r w:rsidRPr="503DC450">
        <w:rPr>
          <w:rFonts w:ascii="Arial" w:eastAsia="Arial" w:hAnsi="Arial" w:cs="Arial"/>
          <w:b w:val="0"/>
          <w:bCs w:val="0"/>
          <w:sz w:val="22"/>
          <w:szCs w:val="22"/>
        </w:rPr>
        <w:t xml:space="preserve"> supervisor for the Dissertation </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 xml:space="preserve">A Course Director to help students understand </w:t>
      </w:r>
      <w:r w:rsidRPr="503DC450">
        <w:rPr>
          <w:rFonts w:ascii="Arial" w:eastAsia="Arial" w:hAnsi="Arial" w:cs="Arial"/>
          <w:b w:val="0"/>
          <w:bCs w:val="0"/>
          <w:sz w:val="22"/>
          <w:szCs w:val="22"/>
        </w:rPr>
        <w:t>the</w:t>
      </w:r>
      <w:r w:rsidRPr="503DC450">
        <w:rPr>
          <w:rFonts w:ascii="Arial" w:eastAsia="Arial" w:hAnsi="Arial" w:cs="Arial"/>
          <w:b w:val="0"/>
          <w:bCs w:val="0"/>
          <w:sz w:val="22"/>
          <w:szCs w:val="22"/>
        </w:rPr>
        <w:t xml:space="preserve"> prog</w:t>
      </w:r>
      <w:r w:rsidRPr="503DC450">
        <w:rPr>
          <w:rFonts w:ascii="Arial" w:eastAsia="Arial" w:hAnsi="Arial" w:cs="Arial"/>
          <w:b w:val="0"/>
          <w:bCs w:val="0"/>
          <w:sz w:val="22"/>
          <w:szCs w:val="22"/>
        </w:rPr>
        <w:t>ramme structure</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Technical support to advise students on IT and the use of software</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A designated programme administrator</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 xml:space="preserve">An induction </w:t>
      </w:r>
      <w:r w:rsidRPr="503DC450">
        <w:rPr>
          <w:rFonts w:ascii="Arial" w:eastAsia="Arial" w:hAnsi="Arial" w:cs="Arial"/>
          <w:b w:val="0"/>
          <w:bCs w:val="0"/>
          <w:sz w:val="22"/>
          <w:szCs w:val="22"/>
        </w:rPr>
        <w:t>programme</w:t>
      </w:r>
      <w:r w:rsidRPr="503DC450">
        <w:rPr>
          <w:rFonts w:ascii="Arial" w:eastAsia="Arial" w:hAnsi="Arial" w:cs="Arial"/>
          <w:b w:val="0"/>
          <w:bCs w:val="0"/>
          <w:sz w:val="22"/>
          <w:szCs w:val="22"/>
        </w:rPr>
        <w:t xml:space="preserve"> </w:t>
      </w:r>
      <w:r w:rsidRPr="503DC450">
        <w:rPr>
          <w:rFonts w:ascii="Arial" w:eastAsia="Arial" w:hAnsi="Arial" w:cs="Arial"/>
          <w:b w:val="0"/>
          <w:bCs w:val="0"/>
          <w:sz w:val="22"/>
          <w:szCs w:val="22"/>
        </w:rPr>
        <w:t>at the beginning of the programme</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Staff Student Consultative Committee</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Canvas</w:t>
      </w:r>
      <w:r w:rsidRPr="503DC450">
        <w:rPr>
          <w:rFonts w:ascii="Arial" w:eastAsia="Arial" w:hAnsi="Arial" w:cs="Arial"/>
          <w:b w:val="0"/>
          <w:bCs w:val="0"/>
          <w:sz w:val="22"/>
          <w:szCs w:val="22"/>
        </w:rPr>
        <w:t xml:space="preserve"> – a versatile online intera</w:t>
      </w:r>
      <w:r w:rsidRPr="503DC450">
        <w:rPr>
          <w:rFonts w:ascii="Arial" w:eastAsia="Arial" w:hAnsi="Arial" w:cs="Arial"/>
          <w:b w:val="0"/>
          <w:bCs w:val="0"/>
          <w:sz w:val="22"/>
          <w:szCs w:val="22"/>
        </w:rPr>
        <w:t>cti</w:t>
      </w:r>
      <w:r w:rsidRPr="503DC450">
        <w:rPr>
          <w:rFonts w:ascii="Arial" w:eastAsia="Arial" w:hAnsi="Arial" w:cs="Arial"/>
          <w:b w:val="0"/>
          <w:bCs w:val="0"/>
          <w:sz w:val="22"/>
          <w:szCs w:val="22"/>
        </w:rPr>
        <w:t>ve in</w:t>
      </w:r>
      <w:r w:rsidRPr="503DC450">
        <w:rPr>
          <w:rFonts w:ascii="Arial" w:eastAsia="Arial" w:hAnsi="Arial" w:cs="Arial"/>
          <w:b w:val="0"/>
          <w:bCs w:val="0"/>
          <w:sz w:val="22"/>
          <w:szCs w:val="22"/>
        </w:rPr>
        <w:t>tranet</w:t>
      </w:r>
      <w:r w:rsidRPr="503DC450">
        <w:rPr>
          <w:rFonts w:ascii="Arial" w:eastAsia="Arial" w:hAnsi="Arial" w:cs="Arial"/>
          <w:b w:val="0"/>
          <w:bCs w:val="0"/>
          <w:sz w:val="22"/>
          <w:szCs w:val="22"/>
        </w:rPr>
        <w:t xml:space="preserve">  </w:t>
      </w:r>
      <w:r w:rsidRPr="503DC450">
        <w:rPr>
          <w:rFonts w:ascii="Arial" w:eastAsia="Arial" w:hAnsi="Arial" w:cs="Arial"/>
          <w:b w:val="0"/>
          <w:bCs w:val="0"/>
          <w:sz w:val="22"/>
          <w:szCs w:val="22"/>
        </w:rPr>
        <w:t>and learning environment</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Student support facilities that provide advice on issues such as finance, regulations, legal matters, accommodation, international student support etc.</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Disabled student support</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The Students’ Union</w:t>
      </w:r>
    </w:p>
    <w:p w:rsidRPr="503DC450" w:rsidP="00B40E99">
      <w:pPr>
        <w:pStyle w:val="cHons"/>
        <w:numPr>
          <w:ilvl w:val="0"/>
          <w:numId w:val="15"/>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Careers and Employ</w:t>
      </w:r>
      <w:r w:rsidRPr="503DC450">
        <w:rPr>
          <w:rFonts w:ascii="Arial" w:eastAsia="Arial" w:hAnsi="Arial" w:cs="Arial"/>
          <w:b w:val="0"/>
          <w:bCs w:val="0"/>
          <w:sz w:val="22"/>
          <w:szCs w:val="22"/>
        </w:rPr>
        <w:t>abi</w:t>
      </w:r>
      <w:r w:rsidRPr="503DC450">
        <w:rPr>
          <w:rFonts w:ascii="Arial" w:eastAsia="Arial" w:hAnsi="Arial" w:cs="Arial"/>
          <w:b w:val="0"/>
          <w:bCs w:val="0"/>
          <w:sz w:val="22"/>
          <w:szCs w:val="22"/>
        </w:rPr>
        <w:t xml:space="preserve">lity </w:t>
      </w:r>
      <w:r w:rsidRPr="503DC450">
        <w:rPr>
          <w:rFonts w:ascii="Arial" w:eastAsia="Arial" w:hAnsi="Arial" w:cs="Arial"/>
          <w:b w:val="0"/>
          <w:bCs w:val="0"/>
          <w:sz w:val="22"/>
          <w:szCs w:val="22"/>
        </w:rPr>
        <w:t>Service</w:t>
      </w:r>
    </w:p>
    <w:p w:rsidRPr="503DC450" w:rsidP="00B40E99">
      <w:pPr>
        <w:pStyle w:val="cHons"/>
        <w:spacing w:before="0" w:after="0"/>
        <w:ind w:left="714" w:right="0" w:firstLine="0"/>
        <w:jc w:val="both"/>
        <w:rPr>
          <w:rFonts w:ascii="Arial" w:eastAsia="Arial" w:hAnsi="Arial" w:cs="Arial"/>
          <w:b w:val="0"/>
          <w:bCs w:val="0"/>
          <w:sz w:val="22"/>
          <w:szCs w:val="22"/>
        </w:rPr>
      </w:pPr>
    </w:p>
    <w:p w:rsidRPr="503DC450" w:rsidP="00B40E99">
      <w:pPr>
        <w:pStyle w:val="li"/>
        <w:numPr>
          <w:ilvl w:val="0"/>
          <w:numId w:val="16"/>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The </w:t>
      </w:r>
      <w:r w:rsidRPr="503DC450">
        <w:rPr>
          <w:rFonts w:ascii="Arial" w:eastAsia="Arial" w:hAnsi="Arial" w:cs="Arial"/>
          <w:sz w:val="22"/>
          <w:szCs w:val="22"/>
        </w:rPr>
        <w:t>Careers and Employability Service</w:t>
      </w:r>
      <w:r w:rsidRPr="503DC450">
        <w:rPr>
          <w:rFonts w:ascii="Arial" w:eastAsia="Arial" w:hAnsi="Arial" w:cs="Arial"/>
          <w:sz w:val="22"/>
          <w:szCs w:val="22"/>
        </w:rPr>
        <w:t xml:space="preserve"> team provides valuable guidance in supporting students with their placements, whether work, research, entrepreneurial or study abroad</w:t>
      </w:r>
    </w:p>
    <w:p w:rsidRPr="503DC450" w:rsidP="00B40E99">
      <w:pPr>
        <w:pStyle w:val="li"/>
        <w:numPr>
          <w:ilvl w:val="0"/>
          <w:numId w:val="16"/>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Placement Tutor</w:t>
      </w:r>
      <w:r w:rsidRPr="503DC450">
        <w:rPr>
          <w:rFonts w:ascii="Calibri" w:eastAsia="Calibri" w:hAnsi="Calibri" w:cs="Calibri"/>
          <w:sz w:val="22"/>
          <w:szCs w:val="22"/>
        </w:rPr>
        <w:t xml:space="preserve"> </w:t>
      </w:r>
      <w:r w:rsidRPr="503DC450">
        <w:rPr>
          <w:rFonts w:ascii="Arial" w:eastAsia="Arial" w:hAnsi="Arial" w:cs="Arial"/>
          <w:sz w:val="22"/>
          <w:szCs w:val="22"/>
        </w:rPr>
        <w:t>will visit during the placement and meet with the s</w:t>
      </w:r>
      <w:r w:rsidRPr="503DC450">
        <w:rPr>
          <w:rFonts w:ascii="Arial" w:eastAsia="Arial" w:hAnsi="Arial" w:cs="Arial"/>
          <w:sz w:val="22"/>
          <w:szCs w:val="22"/>
        </w:rPr>
        <w:t>tud</w:t>
      </w:r>
      <w:r w:rsidRPr="503DC450">
        <w:rPr>
          <w:rFonts w:ascii="Arial" w:eastAsia="Arial" w:hAnsi="Arial" w:cs="Arial"/>
          <w:sz w:val="22"/>
          <w:szCs w:val="22"/>
        </w:rPr>
        <w:t>ent a</w:t>
      </w:r>
      <w:r w:rsidRPr="503DC450">
        <w:rPr>
          <w:rFonts w:ascii="Arial" w:eastAsia="Arial" w:hAnsi="Arial" w:cs="Arial"/>
          <w:sz w:val="22"/>
          <w:szCs w:val="22"/>
        </w:rPr>
        <w:t>nd work place supervisor</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University has several methods for evaluating and improving the quality and standards of its provision. These include:</w:t>
      </w:r>
    </w:p>
    <w:p w:rsidRPr="503DC450" w:rsidP="00A92C9B">
      <w:pPr>
        <w:pStyle w:val="li"/>
        <w:numPr>
          <w:ilvl w:val="0"/>
          <w:numId w:val="17"/>
        </w:numPr>
        <w:pBdr>
          <w:left w:val="none" w:sz="0" w:space="8" w:color="auto"/>
        </w:pBdr>
        <w:spacing w:before="0" w:after="200" w:line="276" w:lineRule="auto"/>
        <w:ind w:left="714" w:right="0" w:hanging="522"/>
        <w:jc w:val="both"/>
        <w:rPr>
          <w:rFonts w:ascii="Times New Roman" w:eastAsia="Times New Roman" w:hAnsi="Times New Roman" w:cs="Times New Roman"/>
          <w:sz w:val="22"/>
          <w:szCs w:val="22"/>
        </w:rPr>
      </w:pPr>
      <w:r w:rsidRPr="503DC450">
        <w:rPr>
          <w:rFonts w:ascii="Arial" w:eastAsia="Arial" w:hAnsi="Arial" w:cs="Arial"/>
          <w:sz w:val="22"/>
          <w:szCs w:val="22"/>
        </w:rPr>
        <w:t>External examiners</w:t>
      </w:r>
    </w:p>
    <w:p w:rsidRPr="503DC450" w:rsidP="00A92C9B">
      <w:pPr>
        <w:pStyle w:val="li"/>
        <w:numPr>
          <w:ilvl w:val="0"/>
          <w:numId w:val="17"/>
        </w:numPr>
        <w:pBdr>
          <w:left w:val="none" w:sz="0" w:space="8" w:color="auto"/>
        </w:pBdr>
        <w:spacing w:before="0" w:after="200" w:line="276" w:lineRule="auto"/>
        <w:ind w:left="714" w:right="0" w:hanging="522"/>
        <w:jc w:val="both"/>
        <w:rPr>
          <w:rFonts w:ascii="Times New Roman" w:eastAsia="Times New Roman" w:hAnsi="Times New Roman" w:cs="Times New Roman"/>
          <w:sz w:val="22"/>
          <w:szCs w:val="22"/>
        </w:rPr>
      </w:pPr>
      <w:r w:rsidRPr="503DC450">
        <w:rPr>
          <w:rFonts w:ascii="Arial" w:eastAsia="Arial" w:hAnsi="Arial" w:cs="Arial"/>
          <w:sz w:val="22"/>
          <w:szCs w:val="22"/>
        </w:rPr>
        <w:t>Boards of study with student r</w:t>
      </w:r>
      <w:r w:rsidRPr="503DC450">
        <w:rPr>
          <w:rFonts w:ascii="Arial" w:eastAsia="Arial" w:hAnsi="Arial" w:cs="Arial"/>
          <w:sz w:val="22"/>
          <w:szCs w:val="22"/>
        </w:rPr>
        <w:t>epr</w:t>
      </w:r>
      <w:r w:rsidRPr="503DC450">
        <w:rPr>
          <w:rFonts w:ascii="Arial" w:eastAsia="Arial" w:hAnsi="Arial" w:cs="Arial"/>
          <w:sz w:val="22"/>
          <w:szCs w:val="22"/>
        </w:rPr>
        <w:t>esent</w:t>
      </w:r>
      <w:r w:rsidRPr="503DC450">
        <w:rPr>
          <w:rFonts w:ascii="Arial" w:eastAsia="Arial" w:hAnsi="Arial" w:cs="Arial"/>
          <w:sz w:val="22"/>
          <w:szCs w:val="22"/>
        </w:rPr>
        <w:t>ation</w:t>
      </w:r>
    </w:p>
    <w:p w:rsidRPr="503DC450" w:rsidP="00A92C9B">
      <w:pPr>
        <w:pStyle w:val="li"/>
        <w:numPr>
          <w:ilvl w:val="0"/>
          <w:numId w:val="17"/>
        </w:numPr>
        <w:pBdr>
          <w:left w:val="none" w:sz="0" w:space="8" w:color="auto"/>
        </w:pBdr>
        <w:spacing w:before="0" w:after="200" w:line="276" w:lineRule="auto"/>
        <w:ind w:left="714" w:right="0" w:hanging="522"/>
        <w:jc w:val="both"/>
        <w:rPr>
          <w:rFonts w:ascii="Times New Roman" w:eastAsia="Times New Roman" w:hAnsi="Times New Roman" w:cs="Times New Roman"/>
          <w:sz w:val="22"/>
          <w:szCs w:val="22"/>
        </w:rPr>
      </w:pPr>
      <w:r w:rsidRPr="503DC450">
        <w:rPr>
          <w:rFonts w:ascii="Arial" w:eastAsia="Arial" w:hAnsi="Arial" w:cs="Arial"/>
          <w:sz w:val="22"/>
          <w:szCs w:val="22"/>
        </w:rPr>
        <w:t>Annual review and development</w:t>
      </w:r>
    </w:p>
    <w:p w:rsidRPr="503DC450" w:rsidP="00A92C9B">
      <w:pPr>
        <w:pStyle w:val="li"/>
        <w:numPr>
          <w:ilvl w:val="0"/>
          <w:numId w:val="17"/>
        </w:numPr>
        <w:pBdr>
          <w:left w:val="none" w:sz="0" w:space="8" w:color="auto"/>
        </w:pBdr>
        <w:spacing w:before="0" w:after="200" w:line="276" w:lineRule="auto"/>
        <w:ind w:left="714" w:right="0" w:hanging="522"/>
        <w:jc w:val="both"/>
        <w:rPr>
          <w:rFonts w:ascii="Times New Roman" w:eastAsia="Times New Roman" w:hAnsi="Times New Roman" w:cs="Times New Roman"/>
          <w:sz w:val="22"/>
          <w:szCs w:val="22"/>
        </w:rPr>
      </w:pPr>
      <w:r w:rsidRPr="503DC450">
        <w:rPr>
          <w:rFonts w:ascii="Arial" w:eastAsia="Arial" w:hAnsi="Arial" w:cs="Arial"/>
          <w:sz w:val="22"/>
          <w:szCs w:val="22"/>
        </w:rPr>
        <w:t>Periodic review undertaken at the subject level</w:t>
      </w:r>
    </w:p>
    <w:p w:rsidRPr="503DC450" w:rsidP="00A92C9B">
      <w:pPr>
        <w:pStyle w:val="li"/>
        <w:numPr>
          <w:ilvl w:val="0"/>
          <w:numId w:val="17"/>
        </w:numPr>
        <w:pBdr>
          <w:left w:val="none" w:sz="0" w:space="8" w:color="auto"/>
        </w:pBdr>
        <w:spacing w:before="0" w:after="200" w:line="276" w:lineRule="auto"/>
        <w:ind w:left="714" w:right="0" w:hanging="522"/>
        <w:jc w:val="both"/>
        <w:rPr>
          <w:rFonts w:ascii="Times New Roman" w:eastAsia="Times New Roman" w:hAnsi="Times New Roman" w:cs="Times New Roman"/>
          <w:sz w:val="22"/>
          <w:szCs w:val="22"/>
        </w:rPr>
      </w:pPr>
      <w:r w:rsidRPr="503DC450">
        <w:rPr>
          <w:rFonts w:ascii="Arial" w:eastAsia="Arial" w:hAnsi="Arial" w:cs="Arial"/>
          <w:sz w:val="22"/>
          <w:szCs w:val="22"/>
        </w:rPr>
        <w:t>Student evaluation</w:t>
      </w:r>
    </w:p>
    <w:p w:rsidRPr="503DC450" w:rsidP="00A92C9B">
      <w:pPr>
        <w:pStyle w:val="li"/>
        <w:numPr>
          <w:ilvl w:val="0"/>
          <w:numId w:val="17"/>
        </w:numPr>
        <w:pBdr>
          <w:left w:val="none" w:sz="0" w:space="8" w:color="auto"/>
        </w:pBdr>
        <w:spacing w:before="0" w:after="200" w:line="276" w:lineRule="auto"/>
        <w:ind w:left="714" w:right="0" w:hanging="522"/>
        <w:jc w:val="both"/>
        <w:rPr>
          <w:rFonts w:ascii="Times New Roman" w:eastAsia="Times New Roman" w:hAnsi="Times New Roman" w:cs="Times New Roman"/>
          <w:sz w:val="22"/>
          <w:szCs w:val="22"/>
        </w:rPr>
      </w:pPr>
      <w:r w:rsidRPr="503DC450">
        <w:rPr>
          <w:rFonts w:ascii="Arial" w:eastAsia="Arial" w:hAnsi="Arial" w:cs="Arial"/>
          <w:sz w:val="22"/>
          <w:szCs w:val="22"/>
        </w:rPr>
        <w:t>Moderation policies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cHons"/>
        <w:spacing w:before="0" w:after="120"/>
        <w:ind w:left="36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nature of the programme, involving seminars, industry guest speaker sessions, workshops and pro</w:t>
      </w:r>
      <w:r w:rsidRPr="503DC450">
        <w:rPr>
          <w:rFonts w:ascii="Arial" w:eastAsia="Arial" w:hAnsi="Arial" w:cs="Arial"/>
          <w:b w:val="0"/>
          <w:bCs w:val="0"/>
          <w:sz w:val="22"/>
          <w:szCs w:val="22"/>
        </w:rPr>
        <w:t>jec</w:t>
      </w:r>
      <w:r w:rsidRPr="503DC450">
        <w:rPr>
          <w:rFonts w:ascii="Arial" w:eastAsia="Arial" w:hAnsi="Arial" w:cs="Arial"/>
          <w:b w:val="0"/>
          <w:bCs w:val="0"/>
          <w:sz w:val="22"/>
          <w:szCs w:val="22"/>
        </w:rPr>
        <w:t>t wor</w:t>
      </w:r>
      <w:r w:rsidRPr="503DC450">
        <w:rPr>
          <w:rFonts w:ascii="Arial" w:eastAsia="Arial" w:hAnsi="Arial" w:cs="Arial"/>
          <w:b w:val="0"/>
          <w:bCs w:val="0"/>
          <w:sz w:val="22"/>
          <w:szCs w:val="22"/>
        </w:rPr>
        <w:t xml:space="preserve">k, creates a culture of career awareness. Employability education is embedded throughout the </w:t>
      </w:r>
      <w:r w:rsidRPr="503DC450">
        <w:rPr>
          <w:rFonts w:ascii="Arial" w:eastAsia="Arial" w:hAnsi="Arial" w:cs="Arial"/>
          <w:b w:val="0"/>
          <w:bCs w:val="0"/>
          <w:sz w:val="22"/>
          <w:szCs w:val="22"/>
        </w:rPr>
        <w:t>programme in the form of activities such as career awareness raising, industry guest speakers, and the development of personal skills. In addition, three m</w:t>
      </w:r>
      <w:r w:rsidRPr="503DC450">
        <w:rPr>
          <w:rFonts w:ascii="Arial" w:eastAsia="Arial" w:hAnsi="Arial" w:cs="Arial"/>
          <w:b w:val="0"/>
          <w:bCs w:val="0"/>
          <w:sz w:val="22"/>
          <w:szCs w:val="22"/>
        </w:rPr>
        <w:t>odu</w:t>
      </w:r>
      <w:r w:rsidRPr="503DC450">
        <w:rPr>
          <w:rFonts w:ascii="Arial" w:eastAsia="Arial" w:hAnsi="Arial" w:cs="Arial"/>
          <w:b w:val="0"/>
          <w:bCs w:val="0"/>
          <w:sz w:val="22"/>
          <w:szCs w:val="22"/>
        </w:rPr>
        <w:t>les (</w:t>
      </w:r>
      <w:r w:rsidRPr="503DC450">
        <w:rPr>
          <w:rFonts w:ascii="Arial" w:eastAsia="Arial" w:hAnsi="Arial" w:cs="Arial"/>
          <w:b w:val="0"/>
          <w:bCs w:val="0"/>
          <w:sz w:val="22"/>
          <w:szCs w:val="22"/>
        </w:rPr>
        <w:t xml:space="preserve">Marketing Communications </w:t>
      </w:r>
      <w:r w:rsidRPr="503DC450">
        <w:rPr>
          <w:rFonts w:ascii="Arial" w:eastAsia="Arial" w:hAnsi="Arial" w:cs="Arial"/>
          <w:b w:val="0"/>
          <w:bCs w:val="0"/>
          <w:sz w:val="22"/>
          <w:szCs w:val="22"/>
        </w:rPr>
        <w:t>Strategy</w:t>
      </w:r>
      <w:r w:rsidRPr="503DC450">
        <w:rPr>
          <w:rFonts w:ascii="Arial" w:eastAsia="Arial" w:hAnsi="Arial" w:cs="Arial"/>
          <w:b w:val="0"/>
          <w:bCs w:val="0"/>
          <w:sz w:val="22"/>
          <w:szCs w:val="22"/>
        </w:rPr>
        <w:t>, Market Research &amp; Data Analysis and Research Proposal &amp; Dissertation) have been chosen to act as ‘hosts’ for dedicated employability tasks which are assessed summatively. The tasks will cover career planning, indu</w:t>
      </w:r>
      <w:r w:rsidRPr="503DC450">
        <w:rPr>
          <w:rFonts w:ascii="Arial" w:eastAsia="Arial" w:hAnsi="Arial" w:cs="Arial"/>
          <w:b w:val="0"/>
          <w:bCs w:val="0"/>
          <w:sz w:val="22"/>
          <w:szCs w:val="22"/>
        </w:rPr>
        <w:t>str</w:t>
      </w:r>
      <w:r w:rsidRPr="503DC450">
        <w:rPr>
          <w:rFonts w:ascii="Arial" w:eastAsia="Arial" w:hAnsi="Arial" w:cs="Arial"/>
          <w:b w:val="0"/>
          <w:bCs w:val="0"/>
          <w:sz w:val="22"/>
          <w:szCs w:val="22"/>
        </w:rPr>
        <w:t>y/job</w:t>
      </w:r>
      <w:r w:rsidRPr="503DC450">
        <w:rPr>
          <w:rFonts w:ascii="Arial" w:eastAsia="Arial" w:hAnsi="Arial" w:cs="Arial"/>
          <w:b w:val="0"/>
          <w:bCs w:val="0"/>
          <w:sz w:val="22"/>
          <w:szCs w:val="22"/>
        </w:rPr>
        <w:t xml:space="preserve"> research, psychometric testing, CV and cover</w:t>
      </w:r>
      <w:r w:rsidRPr="503DC450">
        <w:rPr>
          <w:rFonts w:ascii="Arial" w:eastAsia="Arial" w:hAnsi="Arial" w:cs="Arial"/>
          <w:b w:val="0"/>
          <w:bCs w:val="0"/>
          <w:sz w:val="22"/>
          <w:szCs w:val="22"/>
        </w:rPr>
        <w:t xml:space="preserve"> letter writing, workshops on conducting effective interviews, and writing a management report/briefing based on their Dissertation, for use with prospective employers. Students are encouraged to build a</w:t>
      </w:r>
      <w:r w:rsidRPr="503DC450">
        <w:rPr>
          <w:rFonts w:ascii="Arial" w:eastAsia="Arial" w:hAnsi="Arial" w:cs="Arial"/>
          <w:b w:val="0"/>
          <w:bCs w:val="0"/>
          <w:sz w:val="22"/>
          <w:szCs w:val="22"/>
        </w:rPr>
        <w:t xml:space="preserve"> ca</w:t>
      </w:r>
      <w:r w:rsidRPr="503DC450">
        <w:rPr>
          <w:rFonts w:ascii="Arial" w:eastAsia="Arial" w:hAnsi="Arial" w:cs="Arial"/>
          <w:b w:val="0"/>
          <w:bCs w:val="0"/>
          <w:sz w:val="22"/>
          <w:szCs w:val="22"/>
        </w:rPr>
        <w:t xml:space="preserve">reer </w:t>
      </w:r>
      <w:r w:rsidRPr="503DC450">
        <w:rPr>
          <w:rFonts w:ascii="Arial" w:eastAsia="Arial" w:hAnsi="Arial" w:cs="Arial"/>
          <w:b w:val="0"/>
          <w:bCs w:val="0"/>
          <w:sz w:val="22"/>
          <w:szCs w:val="22"/>
        </w:rPr>
        <w:t>portfolio during the programme and are supported by the Employability Subject coordinator, the Course Team as well as by the University’s centralised Careers &amp; Employability Service. Industry links are provided via guest speakers and via the Market</w:t>
      </w:r>
      <w:r w:rsidRPr="503DC450">
        <w:rPr>
          <w:rFonts w:ascii="Arial" w:eastAsia="Arial" w:hAnsi="Arial" w:cs="Arial"/>
          <w:b w:val="0"/>
          <w:bCs w:val="0"/>
          <w:sz w:val="22"/>
          <w:szCs w:val="22"/>
        </w:rPr>
        <w:t>ing</w:t>
      </w:r>
      <w:r w:rsidRPr="503DC450">
        <w:rPr>
          <w:rFonts w:ascii="Arial" w:eastAsia="Arial" w:hAnsi="Arial" w:cs="Arial"/>
          <w:b w:val="0"/>
          <w:bCs w:val="0"/>
          <w:sz w:val="22"/>
          <w:szCs w:val="22"/>
        </w:rPr>
        <w:t xml:space="preserve"> Expe</w:t>
      </w:r>
      <w:r w:rsidRPr="503DC450">
        <w:rPr>
          <w:rFonts w:ascii="Arial" w:eastAsia="Arial" w:hAnsi="Arial" w:cs="Arial"/>
          <w:b w:val="0"/>
          <w:bCs w:val="0"/>
          <w:sz w:val="22"/>
          <w:szCs w:val="22"/>
        </w:rPr>
        <w:t xml:space="preserve">rt Panel, a group of marketing and branding experts (including alumni) set up to advise on programme and module design and on employability. </w:t>
      </w:r>
    </w:p>
    <w:p w:rsidRPr="503DC450" w:rsidP="001A372B">
      <w:pPr>
        <w:pStyle w:val="cHons"/>
        <w:spacing w:before="0" w:after="120"/>
        <w:ind w:left="36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Graduates will be equipped to build their careers either in the marketing communications function within o</w:t>
      </w:r>
      <w:r w:rsidRPr="503DC450">
        <w:rPr>
          <w:rFonts w:ascii="Arial" w:eastAsia="Arial" w:hAnsi="Arial" w:cs="Arial"/>
          <w:b w:val="0"/>
          <w:bCs w:val="0"/>
          <w:sz w:val="22"/>
          <w:szCs w:val="22"/>
        </w:rPr>
        <w:t>rga</w:t>
      </w:r>
      <w:r w:rsidRPr="503DC450">
        <w:rPr>
          <w:rFonts w:ascii="Arial" w:eastAsia="Arial" w:hAnsi="Arial" w:cs="Arial"/>
          <w:b w:val="0"/>
          <w:bCs w:val="0"/>
          <w:sz w:val="22"/>
          <w:szCs w:val="22"/>
        </w:rPr>
        <w:t>nizat</w:t>
      </w:r>
      <w:r w:rsidRPr="503DC450">
        <w:rPr>
          <w:rFonts w:ascii="Arial" w:eastAsia="Arial" w:hAnsi="Arial" w:cs="Arial"/>
          <w:b w:val="0"/>
          <w:bCs w:val="0"/>
          <w:sz w:val="22"/>
          <w:szCs w:val="22"/>
        </w:rPr>
        <w:t xml:space="preserve">ions or in agencies/consultancies and graduate employment destinations are expected to consist of SMEs and multi-nationals throughout the world, and may include business start-ups. </w:t>
      </w:r>
    </w:p>
    <w:p w:rsidRPr="503DC450" w:rsidP="001A372B">
      <w:pPr>
        <w:pStyle w:val="p"/>
        <w:spacing w:before="0" w:after="120"/>
        <w:ind w:left="360" w:right="0"/>
        <w:rPr>
          <w:rFonts w:ascii="Times New Roman" w:eastAsia="Times New Roman" w:hAnsi="Times New Roman" w:cs="Times New Roman"/>
          <w:sz w:val="22"/>
          <w:szCs w:val="22"/>
        </w:rPr>
      </w:pPr>
      <w:r w:rsidRPr="503DC450">
        <w:rPr>
          <w:rFonts w:ascii="Arial" w:eastAsia="Arial" w:hAnsi="Arial" w:cs="Arial"/>
          <w:sz w:val="22"/>
          <w:szCs w:val="22"/>
        </w:rPr>
        <w:t>Developing employable graduates is at the heart of this programme.</w:t>
      </w:r>
      <w:r w:rsidRPr="503DC450">
        <w:rPr>
          <w:rFonts w:ascii="Arial" w:eastAsia="Arial" w:hAnsi="Arial" w:cs="Arial"/>
          <w:sz w:val="22"/>
          <w:szCs w:val="22"/>
        </w:rPr>
        <w:t xml:space="preserve"> Th</w:t>
      </w:r>
      <w:r w:rsidRPr="503DC450">
        <w:rPr>
          <w:rFonts w:ascii="Arial" w:eastAsia="Arial" w:hAnsi="Arial" w:cs="Arial"/>
          <w:sz w:val="22"/>
          <w:szCs w:val="22"/>
        </w:rPr>
        <w:t>e int</w:t>
      </w:r>
      <w:r w:rsidRPr="503DC450">
        <w:rPr>
          <w:rFonts w:ascii="Arial" w:eastAsia="Arial" w:hAnsi="Arial" w:cs="Arial"/>
          <w:sz w:val="22"/>
          <w:szCs w:val="22"/>
        </w:rPr>
        <w:t>egrated work placement programme is designed to provide our students with the best opportunities for obtaining employment at the end of their degree, providing skills and experience that employers are looking for in their work force. These are supp</w:t>
      </w:r>
      <w:r w:rsidRPr="503DC450">
        <w:rPr>
          <w:rFonts w:ascii="Arial" w:eastAsia="Arial" w:hAnsi="Arial" w:cs="Arial"/>
          <w:sz w:val="22"/>
          <w:szCs w:val="22"/>
        </w:rPr>
        <w:t>ort</w:t>
      </w:r>
      <w:r w:rsidRPr="503DC450">
        <w:rPr>
          <w:rFonts w:ascii="Arial" w:eastAsia="Arial" w:hAnsi="Arial" w:cs="Arial"/>
          <w:sz w:val="22"/>
          <w:szCs w:val="22"/>
        </w:rPr>
        <w:t>ed by</w:t>
      </w:r>
      <w:r w:rsidRPr="503DC450">
        <w:rPr>
          <w:rFonts w:ascii="Arial" w:eastAsia="Arial" w:hAnsi="Arial" w:cs="Arial"/>
          <w:sz w:val="22"/>
          <w:szCs w:val="22"/>
        </w:rPr>
        <w:t xml:space="preserve"> the services of the </w:t>
      </w:r>
      <w:r w:rsidRPr="503DC450">
        <w:rPr>
          <w:rFonts w:ascii="Arial" w:eastAsia="Arial" w:hAnsi="Arial" w:cs="Arial"/>
          <w:sz w:val="22"/>
          <w:szCs w:val="22"/>
        </w:rPr>
        <w:t>Careers and Employability Service</w:t>
      </w:r>
      <w:r w:rsidRPr="503DC450">
        <w:rPr>
          <w:rFonts w:ascii="Arial" w:eastAsia="Arial" w:hAnsi="Arial" w:cs="Arial"/>
          <w:sz w:val="22"/>
          <w:szCs w:val="22"/>
        </w:rPr>
        <w:t xml:space="preserve"> team providing drop-in and scheduled events to support students in the preparation of CVs, applications and preparation for interviews and assessment centres.</w:t>
      </w:r>
    </w:p>
    <w:p w:rsidRPr="503DC450" w:rsidP="001A372B">
      <w:pPr>
        <w:pStyle w:val="cHons"/>
        <w:spacing w:before="0" w:after="120"/>
        <w:ind w:left="360" w:right="0" w:firstLine="0"/>
        <w:jc w:val="both"/>
        <w:rPr>
          <w:rFonts w:ascii="Arial" w:eastAsia="Arial" w:hAnsi="Arial" w:cs="Arial"/>
          <w:b w:val="0"/>
          <w:bCs w:val="0"/>
          <w:sz w:val="22"/>
          <w:szCs w:val="22"/>
        </w:rPr>
      </w:pP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b/>
          <w:bCs/>
          <w:sz w:val="22"/>
          <w:szCs w:val="22"/>
        </w:rPr>
        <w:t>E2.</w:t>
      </w:r>
      <w:r w:rsidRPr="503DC450">
        <w:rPr>
          <w:rFonts w:ascii="Arial" w:hAnsi="Arial" w:cs="Arial"/>
          <w:sz w:val="22"/>
          <w:szCs w:val="22"/>
        </w:rPr>
        <w:t> </w:t>
      </w:r>
      <w:r w:rsidRPr="503DC450">
        <w:rPr>
          <w:rFonts w:ascii="Arial" w:hAnsi="Arial" w:cs="Arial"/>
          <w:b/>
          <w:bCs/>
          <w:sz w:val="22"/>
          <w:szCs w:val="22"/>
        </w:rPr>
        <w:t>Work-based learning, including sandwich programmes</w:t>
      </w:r>
    </w:p>
    <w:p w:rsidRPr="503DC450" w:rsidP="00A92C9B">
      <w:pPr>
        <w:jc w:val="both"/>
        <w:rPr>
          <w:rFonts w:ascii="Arial" w:hAnsi="Arial" w:cs="Arial"/>
          <w:sz w:val="22"/>
          <w:szCs w:val="22"/>
        </w:rPr>
      </w:pPr>
      <w:r w:rsidRPr="503DC450">
        <w:rPr>
          <w:rFonts w:ascii="Arial" w:hAnsi="Arial" w:cs="Arial"/>
          <w:sz w:val="22"/>
          <w:szCs w:val="22"/>
        </w:rPr>
        <w:t xml:space="preserve">Work placement is an integral part of the 2 year degree and students will receive support by the award winning </w:t>
      </w:r>
      <w:r w:rsidRPr="503DC450">
        <w:rPr>
          <w:rFonts w:ascii="Arial" w:hAnsi="Arial" w:cs="Arial"/>
          <w:sz w:val="22"/>
          <w:szCs w:val="22"/>
        </w:rPr>
        <w:t>Careers and Employability Service</w:t>
      </w:r>
      <w:r w:rsidRPr="503DC450">
        <w:rPr>
          <w:rFonts w:ascii="Arial" w:hAnsi="Arial" w:cs="Arial"/>
          <w:sz w:val="22"/>
          <w:szCs w:val="22"/>
        </w:rPr>
        <w:t xml:space="preserve"> team.</w:t>
      </w:r>
    </w:p>
    <w:p w:rsidRPr="503DC450" w:rsidP="00A92C9B">
      <w:pPr>
        <w:rPr>
          <w:rFonts w:ascii="Arial" w:hAnsi="Arial" w:cs="Arial"/>
          <w:sz w:val="22"/>
          <w:szCs w:val="22"/>
        </w:rPr>
      </w:pPr>
      <w:r w:rsidRPr="503DC450">
        <w:rPr>
          <w:rFonts w:ascii="Arial" w:hAnsi="Arial" w:cs="Arial"/>
          <w:sz w:val="22"/>
          <w:szCs w:val="22"/>
        </w:rPr>
        <w:t>While it is the responsib</w:t>
      </w:r>
      <w:r w:rsidRPr="503DC450">
        <w:rPr>
          <w:rFonts w:ascii="Arial" w:hAnsi="Arial" w:cs="Arial"/>
          <w:sz w:val="22"/>
          <w:szCs w:val="22"/>
        </w:rPr>
        <w:t xml:space="preserve">ility of individual students to secure such placements, the </w:t>
      </w:r>
      <w:r w:rsidRPr="503DC450">
        <w:rPr>
          <w:rFonts w:ascii="Arial" w:hAnsi="Arial" w:cs="Arial"/>
          <w:sz w:val="22"/>
          <w:szCs w:val="22"/>
        </w:rPr>
        <w:t>Careers and Employability Service</w:t>
      </w:r>
      <w:r w:rsidRPr="503DC450">
        <w:rPr>
          <w:rFonts w:ascii="Arial" w:hAnsi="Arial" w:cs="Arial"/>
          <w:sz w:val="22"/>
          <w:szCs w:val="22"/>
        </w:rPr>
        <w:t xml:space="preserve"> support offers each student support at all stages of the application process, including writing CVs, completing application forms, participating in mock interview</w:t>
      </w:r>
      <w:r w:rsidRPr="503DC450">
        <w:rPr>
          <w:rFonts w:ascii="Arial" w:hAnsi="Arial" w:cs="Arial"/>
          <w:sz w:val="22"/>
          <w:szCs w:val="22"/>
        </w:rPr>
        <w:t>s, assessment centre activities and psychometric tests. The process of applying for a placement gives students the opportunity to experience a real-life, competitive job application process.</w:t>
      </w:r>
    </w:p>
    <w:p w:rsidRPr="503DC450" w:rsidP="00A92C9B">
      <w:pPr>
        <w:rPr>
          <w:rFonts w:ascii="Arial" w:hAnsi="Arial" w:cs="Arial"/>
          <w:sz w:val="22"/>
          <w:szCs w:val="22"/>
        </w:rPr>
      </w:pPr>
      <w:r w:rsidRPr="503DC450">
        <w:rPr>
          <w:rFonts w:ascii="Arial" w:hAnsi="Arial" w:cs="Arial"/>
          <w:sz w:val="22"/>
          <w:szCs w:val="22"/>
        </w:rPr>
        <w:t>The business experience period enables students to apply their le</w:t>
      </w:r>
      <w:r w:rsidRPr="503DC450">
        <w:rPr>
          <w:rFonts w:ascii="Arial" w:hAnsi="Arial" w:cs="Arial"/>
          <w:sz w:val="22"/>
          <w:szCs w:val="22"/>
        </w:rPr>
        <w:t xml:space="preserve">arning in the real-world work environment, to reflect upon their own personal experience of working in an applied setting, to focus on aspects of this experience that they can clearly relate to theoretical concepts and to evaluate the relationship between </w:t>
      </w:r>
      <w:r w:rsidRPr="503DC450">
        <w:rPr>
          <w:rFonts w:ascii="Arial" w:hAnsi="Arial" w:cs="Arial"/>
          <w:sz w:val="22"/>
          <w:szCs w:val="22"/>
        </w:rPr>
        <w:t xml:space="preserve">theory and practice. Students will be assessed during and at the end of this period, normally through a portfolio. This will be marked as pass/fail. </w:t>
      </w:r>
    </w:p>
    <w:p w:rsidRPr="503DC450" w:rsidP="00A92C9B">
      <w:pPr>
        <w:jc w:val="both"/>
        <w:rPr>
          <w:rFonts w:ascii="Arial" w:hAnsi="Arial" w:cs="Arial"/>
          <w:sz w:val="22"/>
          <w:szCs w:val="22"/>
        </w:rPr>
      </w:pPr>
      <w:r w:rsidRPr="503DC450">
        <w:rPr>
          <w:rFonts w:ascii="Arial" w:hAnsi="Arial" w:cs="Arial"/>
          <w:sz w:val="22"/>
          <w:szCs w:val="22"/>
        </w:rPr>
        <w:t>Students who undertake work-based placements often benefit greatly from the experience, gaining real exper</w:t>
      </w:r>
      <w:r w:rsidRPr="503DC450">
        <w:rPr>
          <w:rFonts w:ascii="Arial" w:hAnsi="Arial" w:cs="Arial"/>
          <w:sz w:val="22"/>
          <w:szCs w:val="22"/>
        </w:rPr>
        <w:t>ience and work achievements to record on their CV, and also greater maturity and motivation.</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cHons"/>
        <w:spacing w:before="120" w:after="12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All students will be provided with the University regulations and specific additions that are sometimes</w:t>
      </w:r>
      <w:r w:rsidRPr="503DC450">
        <w:rPr>
          <w:rFonts w:ascii="Arial" w:eastAsia="Arial" w:hAnsi="Arial" w:cs="Arial"/>
          <w:b w:val="0"/>
          <w:bCs w:val="0"/>
          <w:sz w:val="22"/>
          <w:szCs w:val="22"/>
        </w:rPr>
        <w:t xml:space="preserve"> re</w:t>
      </w:r>
      <w:r w:rsidRPr="503DC450">
        <w:rPr>
          <w:rFonts w:ascii="Arial" w:eastAsia="Arial" w:hAnsi="Arial" w:cs="Arial"/>
          <w:b w:val="0"/>
          <w:bCs w:val="0"/>
          <w:sz w:val="22"/>
          <w:szCs w:val="22"/>
        </w:rPr>
        <w:t>quire</w:t>
      </w:r>
      <w:r w:rsidRPr="503DC450">
        <w:rPr>
          <w:rFonts w:ascii="Arial" w:eastAsia="Arial" w:hAnsi="Arial" w:cs="Arial"/>
          <w:b w:val="0"/>
          <w:bCs w:val="0"/>
          <w:sz w:val="22"/>
          <w:szCs w:val="22"/>
        </w:rPr>
        <w:t xml:space="preserve">d for accreditation by outside bodies (e.g. professional or statutory bodies that confer professional accreditation). </w:t>
      </w:r>
    </w:p>
    <w:p w:rsidRPr="503DC450" w:rsidP="00A92C9B">
      <w:pPr>
        <w:pStyle w:val="cHons"/>
        <w:spacing w:before="120" w:after="12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Details about the programme will be provided in the course handbook, whereas full details of each module will be provided in modu</w:t>
      </w:r>
      <w:r w:rsidRPr="503DC450">
        <w:rPr>
          <w:rFonts w:ascii="Arial" w:eastAsia="Arial" w:hAnsi="Arial" w:cs="Arial"/>
          <w:b w:val="0"/>
          <w:bCs w:val="0"/>
          <w:sz w:val="22"/>
          <w:szCs w:val="22"/>
        </w:rPr>
        <w:t xml:space="preserve">le </w:t>
      </w:r>
      <w:r w:rsidRPr="503DC450">
        <w:rPr>
          <w:rFonts w:ascii="Arial" w:eastAsia="Arial" w:hAnsi="Arial" w:cs="Arial"/>
          <w:b w:val="0"/>
          <w:bCs w:val="0"/>
          <w:sz w:val="22"/>
          <w:szCs w:val="22"/>
        </w:rPr>
        <w:t>handb</w:t>
      </w:r>
      <w:r w:rsidRPr="503DC450">
        <w:rPr>
          <w:rFonts w:ascii="Arial" w:eastAsia="Arial" w:hAnsi="Arial" w:cs="Arial"/>
          <w:b w:val="0"/>
          <w:bCs w:val="0"/>
          <w:sz w:val="22"/>
          <w:szCs w:val="22"/>
        </w:rPr>
        <w:t>ooks.</w:t>
      </w:r>
      <w:r w:rsidRPr="503DC450">
        <w:rPr>
          <w:rFonts w:ascii="Arial" w:eastAsia="Arial" w:hAnsi="Arial" w:cs="Arial"/>
          <w:b w:val="0"/>
          <w:bCs w:val="0"/>
          <w:sz w:val="22"/>
          <w:szCs w:val="22"/>
        </w:rPr>
        <w:t xml:space="preserve">  </w:t>
      </w:r>
    </w:p>
    <w:p w:rsidRPr="503DC450" w:rsidP="00A92C9B">
      <w:pPr>
        <w:pStyle w:val="p"/>
        <w:spacing w:before="0" w:after="0"/>
        <w:ind w:left="360" w:right="0"/>
        <w:rPr>
          <w:rFonts w:ascii="Arial" w:eastAsia="Arial" w:hAnsi="Arial" w:cs="Arial"/>
          <w:b/>
          <w:bCs/>
          <w:color w:val="FF0000"/>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QAA Benchmark Statement:</w:t>
      </w:r>
    </w:p>
    <w:p w:rsidRPr="503DC450" w:rsidP="00A92C9B">
      <w:pPr>
        <w:pStyle w:val="p"/>
        <w:spacing w:before="0" w:after="0"/>
        <w:ind w:left="360" w:right="0"/>
        <w:rPr>
          <w:rFonts w:ascii="Times New Roman" w:eastAsia="Times New Roman" w:hAnsi="Times New Roman" w:cs="Times New Roman"/>
          <w:sz w:val="22"/>
          <w:szCs w:val="22"/>
        </w:rPr>
      </w:pPr>
      <w:hyperlink r:id="rId11" w:history="1">
        <w:r w:rsidRPr="503DC450">
          <w:rPr>
            <w:rFonts w:ascii="Calibri" w:eastAsia="Calibri" w:hAnsi="Calibri" w:cs="Calibri"/>
            <w:color w:val="0000FF"/>
            <w:sz w:val="22"/>
            <w:szCs w:val="22"/>
            <w:u w:val="single" w:color="0000FF"/>
          </w:rPr>
          <w:t>https://www.qaa.ac.uk/docs/qaa/subject-benchmark-statements/sbs-business-and-manageme</w:t>
        </w:r>
        <w:r w:rsidRPr="503DC450">
          <w:rPr>
            <w:rFonts w:ascii="Calibri" w:eastAsia="Calibri" w:hAnsi="Calibri" w:cs="Calibri"/>
            <w:color w:val="0000FF"/>
            <w:sz w:val="22"/>
            <w:szCs w:val="22"/>
            <w:u w:val="single" w:color="0000FF"/>
          </w:rPr>
          <w:t>nt-</w:t>
        </w:r>
        <w:r w:rsidRPr="503DC450">
          <w:rPr>
            <w:rFonts w:ascii="Calibri" w:eastAsia="Calibri" w:hAnsi="Calibri" w:cs="Calibri"/>
            <w:color w:val="0000FF"/>
            <w:sz w:val="22"/>
            <w:szCs w:val="22"/>
            <w:u w:val="single" w:color="0000FF"/>
          </w:rPr>
          <w:t>15.pd</w:t>
        </w:r>
        <w:r w:rsidRPr="503DC450">
          <w:rPr>
            <w:rFonts w:ascii="Calibri" w:eastAsia="Calibri" w:hAnsi="Calibri" w:cs="Calibri"/>
            <w:color w:val="0000FF"/>
            <w:sz w:val="22"/>
            <w:szCs w:val="22"/>
            <w:u w:val="single" w:color="0000FF"/>
          </w:rPr>
          <w:t>f?sfvrsn=1997f681_16</w:t>
        </w:r>
      </w:hyperlink>
      <w:r w:rsidRPr="503DC450">
        <w:rPr>
          <w:rFonts w:ascii="Calibri" w:eastAsia="Calibri" w:hAnsi="Calibri" w:cs="Calibri"/>
          <w:sz w:val="22"/>
          <w:szCs w:val="22"/>
        </w:rPr>
        <w:t xml:space="preserve">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040"/>
        <w:gridCol w:w="316"/>
        <w:gridCol w:w="794"/>
        <w:gridCol w:w="816"/>
        <w:gridCol w:w="816"/>
        <w:gridCol w:w="816"/>
        <w:gridCol w:w="816"/>
        <w:gridCol w:w="816"/>
        <w:gridCol w:w="816"/>
        <w:gridCol w:w="81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BA7777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BM7302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bC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b/>
        <w:bC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Hons">
    <w:name w:val="cHons"/>
    <w:basedOn w:val="Normal"/>
    <w:pPr>
      <w:ind w:hanging="360"/>
    </w:pPr>
    <w:rPr>
      <w:b/>
      <w:bCs/>
      <w:sz w:val="24"/>
      <w:szCs w:val="24"/>
    </w:rPr>
  </w:style>
  <w:style w:type="paragraph" w:customStyle="1" w:styleId="ListParagraph0">
    <w:name w:val="ListParagraph"/>
    <w:basedOn w:val="ListParagraph"/>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bs-business-and-management-15.pdf?sfvrsn=1997f681_16"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E4BDE5D-24DA-42E7-912A-37B9C496DD1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