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Real Estate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05/04/2020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No partner</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Real Estate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Real Estate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Real Estate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PPREE1REE02</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PFREE1REE02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No partner</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Royal Institution of Chartered Surveyors (RICS)</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MSc Real Estate are to provide students with the opportunity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Take advantage of a flexible programme structure of taught modules by creating a programme of study designed to suit their own interests and aspirations.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a detailed knowledge and understanding of, develop the ability to analyse, evaluate, reflect upon and present on in written, graphical or oral means real estate practice subjects which are required under core modules and otherwise selected by them.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the law, valuation, property management, lease consultancy, dispute resolution, investment, planning and development to complex situations, both current and emerging.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and deepen research and investigative skills and a critical and research-oriented approach to the study of areas of real estate in which they are interested.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their career opportunities with a postgraduate qualification which emphasises the skills which will enable them to take a pro-active, self-critical and reflective approach to their subsequent careers.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From these aims, the MSc Real Estate enables graduates to gain the following key qualities and characteristics: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Perceptive: in the ability to innovate and to respond to new and unfamiliar situations with an imaginative and systematic use of knowledge and skills to solve problems.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Inquisitive: in the capacity to develop intellectually beyond the first-degree level and have the ability to critically question accepted orthodoxies and conventions and with the ability to progress to higher degrees should they so choose.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Progressive: through the beneficial opportunity from a stimulating and relevant programme of taught and self-development study that is underpinned by research and meets both student needs and the emerging needs of practice and one in which the learning environment stimulates the student to take a pro-active role.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Professional: by the potential of stimulating development so as to become beneficial, professionally aware and qualified members of the real estate community in meeting the developing needs of practice and wider stakeholders in both the UK and internationally.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Competent: in their possession of a substantial core of theoretical and applied knowledge, appraisal and practice-based application in connection with both technical core and option modules (electives).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Creative: in seeking solutions to a diverse set of assignments and briefs allowing extended thinking and fully evaluated solutions.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Reflective: in the practice of research concepts, principles and methods and have developed a commitment to research culture and life-long learning.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Observant: to the new and emerging aspects and requirements of the real estate sector to fulfil business and people needs and which itself is challenged by global and local agendas led by environmental, social, economic, financial and technological factors.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Engaging: in selecting option modules (electives) of choice thus gaining a deep critical personal knowledge and understanding of specialist areas of interest aligned to those who practise primarily in the commercial property practice sector.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Employable: based on a challenging and stimulating course providing opportunities for practitioner interface through a range of assignment projects, talks, functions and other outlets.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understanding of investment appraisals and property finance and funding strategies and which influence risk and returns in the real estate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clarity of problem definition and scope, critical evaluation of a focused review of relevant literature, selection of appropriate methodology, proficiency in the collection, analysis and the ability to synthesise material in drawing relevant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valuations for a variety of purposes set against a range of bases of value and using relevant valuation approaches and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quantitative and qualitative research methods and various techniques associated with the design and presentation of a research-based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implications of ethics and professional judgment and apply these principles to studies which have a high bias and content in respect of regulation and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and group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significance of strategic and operational real estate management impacting ownership, occupier and investor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Exercise sound reasoned  judgment in relation to professional practice problems and research questions.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analysis and interpretation of a wide range of market, price, legal and business data or information from primary and secondary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analytical knowledge in respect of spatial planning and urban placemaking, development and the wider sustainability agenda.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deep, questioning and problem-solving approaches to the technical scenarios where relevant conclusions and recommendations are demanded.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Competently develop and use modelling approaches in order to support professional reports, business plans and valuation, investment and development appraisal computations.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clear and holistic understanding of professional regulation and ethical standards applied to and required of real estate professionals in relation to their field of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Prepare and deliver technically accurate and logically sound argued solutions to case study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Draft and present professional reports and other documents, both practice-orientated and academic focused.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deep knowledge and critical understanding of property valuation and appraisal techniques used for a variety of purposes and as normally applied to the real estate markets in the UK and in outline globally.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data and related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Deconstruct legal issue problems and develop an ability to apply knowledge and understanding to offer evidenced conclusions, addressing complex actual or hypothetical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clients’ needs and produce justified and reasoned  outcomes in relation to real estate sector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inquisitorial understanding of information, communication and technology systems as impacting the actions and activities of real estate entities and professionals.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high level of knowledge and understanding of the principles of real estate fundamentals and markets.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knowledge and critical understanding of aspects of UK and (in outline) International law, policies and regulatory frameworks as they impact on the work of real estate professionals.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programme consists of five core modules, four at 30 credit points each and one at 60 credits for the full MSc programme.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minimum requirement for a Postgraduate Certificate (PgCert) is 60 credits, for a Postgraduate Diploma (PgDip) is 120 credits and for the Master’s degree (MSc), 180 credits. In some instances, the Postgraduate Certificate or Postgraduate Diploma may be the final award and Postgraduate Certificates and Postgraduate Diplomas may be offered to students who only complete specified parts of a Master’s degree.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Students on the 2-year placement version of the programme should complete all of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Course Structure on the table below.</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Real Estate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Real Estate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LAND USE, PLANNING AND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BT7104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PROPERTY INVESTMENT ANALYSIS AND FUNDING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BT7106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REAL ESTATE APPRAISAL AND VALUATION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BT7101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REAL ESTATE FUNDAMENTALS AND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BT7100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 AND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BT7109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0</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The Faculty’s Principles of Teaching, Learning and Assessment will be employed into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All students on the programme are working towards a professional career in which they must be able to exercise judgment, communicate with clients, other stakeholders and the public and throughout take an ethical approach to all that they do; we also encourage them through the design and execution of the curriculum to be both knowledgeable in terms of how ethical, environmental and cultural and social principles apply to their own field such that they develop a responsible attitude towards the role that built environment professionals can play in modern society.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real estate team has a deep belief that the role of teaching and assessment is to underpin student learning and throughout the programme the strategy is to engage students with a wide range of activities that will enable them to develop the skills that they will need as practitioners alongside their acquisition of knowledge and critical thinking.</w:t>
      </w:r>
      <w:r w:rsidRPr="2030048C">
        <w:rPr>
          <w:rFonts w:ascii="Arial" w:eastAsia="Arial" w:hAnsi="Arial" w:cs="Arial"/>
          <w:sz w:val="22"/>
          <w:szCs w:val="22"/>
        </w:rPr>
        <w:t xml:space="preserve"> The student should, as far as practicable, be empowered to take control of their learning but be supported strongly through the process. However, it is also recognised that, although students come into the programme with developed learning skills acquired through their first degrees, the nature of the programme is intensive. Therefore, extensive use of lectures is made to ensure the imparting of key information that students then analyse and develop at depth through both formatively and summatively assessed work.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accordance with the professional practice nature of the programme, much of the teaching related to knowledge and understanding will be focused on simulated real-life study and projects in which students will be led through the material and skills they are required to develop through the tasks set. Use will also be made of visiting lecturers to ensure currency of projects. Support sessions and tutorials aimed at both knowledge reinforcement and skills development, as well as to provide both feedback and feedforward direction are also an important part of the delivery strategy. </w:t>
      </w:r>
    </w:p>
    <w:p w:rsidRPr="2030048C" w:rsidP="2030048C">
      <w:pPr>
        <w:rPr>
          <w:rFonts w:ascii="Arial" w:eastAsia="Arial" w:hAnsi="Arial" w:cs="Arial"/>
          <w:sz w:val="24"/>
          <w:szCs w:val="24"/>
        </w:rPr>
      </w:pPr>
      <w:r w:rsidRPr="2030048C">
        <w:rPr>
          <w:rFonts w:ascii="Arial" w:eastAsia="Arial" w:hAnsi="Arial" w:cs="Arial"/>
          <w:sz w:val="22"/>
          <w:szCs w:val="22"/>
        </w:rPr>
        <w:t xml:space="preserve">A solid and comprehensive technical and professional knowledge base is non-negotiable and is delivered through lectures, seminars and tutorials; deep knowledge acquisition lies at the heart of our programmes. Teaching for full-time students takes place both through a mixture of tutorial attendance spread throughout the two main teaching blocks and short-block attendance (for three days in one week). Part-time students are taught exclusively in short blocks although are encouraged to attend any tutorial sessions used to support learning and evaluation activities. </w:t>
      </w:r>
    </w:p>
    <w:p w:rsidRPr="2030048C" w:rsidP="2030048C">
      <w:pPr>
        <w:rPr>
          <w:rFonts w:ascii="Arial" w:eastAsia="Arial" w:hAnsi="Arial" w:cs="Arial"/>
          <w:sz w:val="24"/>
          <w:szCs w:val="24"/>
        </w:rPr>
      </w:pPr>
      <w:r w:rsidRPr="2030048C">
        <w:rPr>
          <w:rFonts w:ascii="Arial" w:eastAsia="Arial" w:hAnsi="Arial" w:cs="Arial"/>
          <w:sz w:val="22"/>
          <w:szCs w:val="22"/>
        </w:rPr>
        <w:t>The short block delivery is very compatible with the needs of those working full-time, and experience shows that many students studying full-time enjoy the ability to have concentrated periods in which they can progress their self-study; it also means students can study on a full-time basis even if they live some considerable distance from Kingston as they can come in for just short periods. The exceptions to these patterns of delivery are the optional fieldtrip of up to one week in duration (in module BT 7100) and the research project where the emphasis is on individual tutorials after an initial one</w:t>
      </w:r>
      <w:r w:rsidRPr="2030048C">
        <w:rPr>
          <w:rFonts w:ascii="Arial" w:eastAsia="Arial" w:hAnsi="Arial" w:cs="Arial"/>
          <w:sz w:val="22"/>
          <w:szCs w:val="22"/>
        </w:rPr>
        <w:noBreakHyphen/>
        <w:t xml:space="preserve">day briefing; this module concludes with the Masters Conference. Follow up support after teaching blocks takes place both face-to-face for full-time students and through the use of web-based resources and by email for all students.  </w:t>
      </w:r>
    </w:p>
    <w:p w:rsidRPr="2030048C" w:rsidP="2030048C">
      <w:pPr>
        <w:rPr>
          <w:rFonts w:ascii="Arial" w:eastAsia="Arial" w:hAnsi="Arial" w:cs="Arial"/>
          <w:sz w:val="24"/>
          <w:szCs w:val="24"/>
        </w:rPr>
      </w:pPr>
      <w:r w:rsidRPr="2030048C">
        <w:rPr>
          <w:rFonts w:ascii="Arial" w:eastAsia="Arial" w:hAnsi="Arial" w:cs="Arial"/>
          <w:sz w:val="22"/>
          <w:szCs w:val="22"/>
        </w:rPr>
        <w:t xml:space="preserve">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rsidRPr="2030048C" w:rsidP="2030048C">
      <w:pPr>
        <w:rPr>
          <w:rFonts w:ascii="Arial" w:eastAsia="Arial" w:hAnsi="Arial" w:cs="Arial"/>
          <w:sz w:val="24"/>
          <w:szCs w:val="24"/>
        </w:rPr>
      </w:pPr>
      <w:r w:rsidRPr="2030048C">
        <w:rPr>
          <w:rFonts w:ascii="Arial" w:eastAsia="Arial" w:hAnsi="Arial" w:cs="Arial"/>
          <w:sz w:val="22"/>
          <w:szCs w:val="22"/>
        </w:rPr>
        <w:t>The following teaching and learning approaches are used:</w:t>
      </w:r>
    </w:p>
    <w:p w:rsidRPr="2030048C" w:rsidP="2030048C">
      <w:pPr>
        <w:ind w:left="705"/>
        <w:rPr>
          <w:rFonts w:ascii="Arial" w:eastAsia="Arial" w:hAnsi="Arial" w:cs="Arial"/>
          <w:sz w:val="24"/>
          <w:szCs w:val="24"/>
        </w:rPr>
      </w:pPr>
      <w:r w:rsidRPr="2030048C">
        <w:rPr>
          <w:rFonts w:ascii="Arial" w:eastAsia="Arial" w:hAnsi="Arial" w:cs="Arial"/>
          <w:sz w:val="22"/>
          <w:szCs w:val="22"/>
        </w:rPr>
        <w:t>•           Tutor-led classroom sessions to facilitate the delivery of key concepts and principles and which will be supported by online resources, journals, textbooks and other learning resource material.</w:t>
      </w:r>
    </w:p>
    <w:p w:rsidRPr="2030048C" w:rsidP="2030048C">
      <w:pPr>
        <w:ind w:left="705"/>
        <w:rPr>
          <w:rFonts w:ascii="Arial" w:eastAsia="Arial" w:hAnsi="Arial" w:cs="Arial"/>
          <w:sz w:val="24"/>
          <w:szCs w:val="24"/>
        </w:rPr>
      </w:pPr>
      <w:r w:rsidRPr="2030048C">
        <w:rPr>
          <w:rFonts w:ascii="Arial" w:eastAsia="Arial" w:hAnsi="Arial" w:cs="Arial"/>
          <w:sz w:val="22"/>
          <w:szCs w:val="22"/>
        </w:rPr>
        <w:t>•           Student-centred activities and participative learning via group exercises, computer laboratory practical sessions, case studies and presentations, problem-centred learning and discussion.</w:t>
      </w:r>
    </w:p>
    <w:p w:rsidRPr="2030048C" w:rsidP="2030048C">
      <w:pPr>
        <w:ind w:left="705"/>
        <w:rPr>
          <w:rFonts w:ascii="Arial" w:eastAsia="Arial" w:hAnsi="Arial" w:cs="Arial"/>
          <w:sz w:val="24"/>
          <w:szCs w:val="24"/>
        </w:rPr>
      </w:pPr>
      <w:r w:rsidRPr="2030048C">
        <w:rPr>
          <w:rFonts w:ascii="Arial" w:eastAsia="Arial" w:hAnsi="Arial" w:cs="Arial"/>
          <w:sz w:val="22"/>
          <w:szCs w:val="22"/>
        </w:rPr>
        <w:t xml:space="preserve">•           Study groups to encourage and foster mutual support, inclusivity in activities, sharing of learning and developing of team-work and leadership skills. </w:t>
      </w:r>
    </w:p>
    <w:p w:rsidRPr="2030048C" w:rsidP="2030048C">
      <w:pPr>
        <w:ind w:left="705"/>
        <w:rPr>
          <w:rFonts w:ascii="Arial" w:eastAsia="Arial" w:hAnsi="Arial" w:cs="Arial"/>
          <w:sz w:val="24"/>
          <w:szCs w:val="24"/>
        </w:rPr>
      </w:pPr>
      <w:r w:rsidRPr="2030048C">
        <w:rPr>
          <w:rFonts w:ascii="Arial" w:eastAsia="Arial" w:hAnsi="Arial" w:cs="Arial"/>
          <w:sz w:val="22"/>
          <w:szCs w:val="22"/>
        </w:rPr>
        <w:t>•           Each core module has a set of lecture slide presentations that are supplemented by a course outline and briefing. There is online access to the Canvas Learning Management system to support study groups and individual students.</w:t>
      </w:r>
    </w:p>
    <w:p w:rsidRPr="2030048C" w:rsidP="2030048C">
      <w:pPr>
        <w:ind w:left="705"/>
        <w:rPr>
          <w:rFonts w:ascii="Arial" w:eastAsia="Arial" w:hAnsi="Arial" w:cs="Arial"/>
          <w:sz w:val="24"/>
          <w:szCs w:val="24"/>
        </w:rPr>
      </w:pPr>
      <w:r w:rsidRPr="2030048C">
        <w:rPr>
          <w:rFonts w:ascii="Arial" w:eastAsia="Arial" w:hAnsi="Arial" w:cs="Arial"/>
          <w:sz w:val="22"/>
          <w:szCs w:val="22"/>
        </w:rPr>
        <w:t>•           Business and Commercial English Language support is offered to international students, especially where English is not their main language.</w:t>
      </w:r>
    </w:p>
    <w:p w:rsidRPr="2030048C" w:rsidP="2030048C">
      <w:pPr>
        <w:rPr>
          <w:rFonts w:ascii="Arial" w:eastAsia="Arial" w:hAnsi="Arial" w:cs="Arial"/>
          <w:sz w:val="24"/>
          <w:szCs w:val="24"/>
        </w:rPr>
      </w:pPr>
      <w:r w:rsidRPr="2030048C">
        <w:rPr>
          <w:rFonts w:ascii="Arial" w:eastAsia="Arial" w:hAnsi="Arial" w:cs="Arial"/>
          <w:sz w:val="22"/>
          <w:szCs w:val="22"/>
        </w:rPr>
        <w:t>Lectures are used to impart key information and will normally be limited to no more than two hours in duration, followed up by seminars. Extensive use is made by teaching staff of e</w:t>
      </w:r>
      <w:r w:rsidRPr="2030048C">
        <w:rPr>
          <w:rFonts w:ascii="Arial" w:eastAsia="Arial" w:hAnsi="Arial" w:cs="Arial"/>
          <w:sz w:val="22"/>
          <w:szCs w:val="22"/>
        </w:rPr>
        <w:noBreakHyphen/>
        <w:t>learning via Canvas, our on-line learning environment. Teaching for the MSc Real Estate is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w:t>
      </w:r>
    </w:p>
    <w:p w:rsidRPr="2030048C" w:rsidP="2030048C">
      <w:pPr>
        <w:rPr>
          <w:rFonts w:ascii="Arial" w:eastAsia="Arial" w:hAnsi="Arial" w:cs="Arial"/>
          <w:sz w:val="24"/>
          <w:szCs w:val="24"/>
        </w:rPr>
      </w:pPr>
      <w:r w:rsidRPr="2030048C">
        <w:rPr>
          <w:rFonts w:ascii="Arial" w:eastAsia="Arial" w:hAnsi="Arial" w:cs="Arial"/>
          <w:sz w:val="22"/>
          <w:szCs w:val="22"/>
        </w:rPr>
        <w:t xml:space="preserve">Developing skills is also critical to successful vocational education. These skills are practical, such as the ability to work together, present orally and write professional reports, but one of the key skills is to obtain competency in the use of a range of IT applications such as MS Word, PowerPoint and Excel and these are taught and practised as an integral part of the core curriculum. </w:t>
      </w:r>
    </w:p>
    <w:p w:rsidRPr="2030048C" w:rsidP="2030048C">
      <w:pPr>
        <w:rPr>
          <w:rFonts w:ascii="Arial" w:eastAsia="Arial" w:hAnsi="Arial" w:cs="Arial"/>
          <w:sz w:val="24"/>
          <w:szCs w:val="24"/>
        </w:rPr>
      </w:pPr>
      <w:r w:rsidRPr="2030048C">
        <w:rPr>
          <w:rFonts w:ascii="Arial" w:eastAsia="Arial" w:hAnsi="Arial" w:cs="Arial"/>
          <w:sz w:val="22"/>
          <w:szCs w:val="22"/>
        </w:rPr>
        <w:t>Students also need to develop high level information retrieval skills and the ability to design and execute research effectively using appropriate analysis tools and draw relevant and reasoned conclusions, as these skills underpin their entire learning. For example, in addition to the research modules, notably Research Project and Methods, which provide the prime vehicle for the formal learning of these skills, they are practised and enhanced through exercises including:</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the resolution of legal or practice problems that may occur in the client-advisor relationship;</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debating some of the ethical and policy issues that practitioners may face in their professional lives; and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rationalising cross-border challenges in the real estate global environment which real practitioners commonly find themselves in (through the optional international field trip or UK based equivalent (using outward research capabilities).</w:t>
      </w:r>
    </w:p>
    <w:p w:rsidRPr="2030048C" w:rsidP="2030048C">
      <w:pPr>
        <w:rPr>
          <w:rFonts w:ascii="Arial" w:eastAsia="Arial" w:hAnsi="Arial" w:cs="Arial"/>
          <w:sz w:val="24"/>
          <w:szCs w:val="24"/>
        </w:rPr>
      </w:pPr>
      <w:r w:rsidRPr="2030048C">
        <w:rPr>
          <w:rFonts w:ascii="Arial" w:eastAsia="Arial" w:hAnsi="Arial" w:cs="Arial"/>
          <w:sz w:val="22"/>
          <w:szCs w:val="22"/>
        </w:rPr>
        <w:t xml:space="preserve">All students undertake a research project which helps them integrate their learning and understanding from the taught and research modules. On the MSc Real Estate programme, the Research Project encourages students to undertake a project of a type that is appropriate to them personally but which will help them to synthesise their learning and produce new knowledge. Therefore, a student in full-time employment in the industry studying part-time might choose to study something related to their own organisation business model or organisation’s professional activities, whilst another who perhaps comes with a strong computing background might test software applications; a third may choose to undertake a standard dissertation. We are committed to the principle that each student,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inter-personal and analytical skills. </w:t>
      </w:r>
    </w:p>
    <w:p w:rsidRPr="2030048C" w:rsidP="2030048C">
      <w:pPr>
        <w:rPr>
          <w:rFonts w:ascii="Arial" w:eastAsia="Arial" w:hAnsi="Arial" w:cs="Arial"/>
          <w:sz w:val="24"/>
          <w:szCs w:val="24"/>
        </w:rPr>
      </w:pPr>
      <w:r w:rsidRPr="2030048C">
        <w:rPr>
          <w:rFonts w:ascii="Arial" w:eastAsia="Arial" w:hAnsi="Arial" w:cs="Arial"/>
          <w:i/>
          <w:iCs/>
          <w:sz w:val="22"/>
          <w:szCs w:val="22"/>
        </w:rPr>
        <w:t>Assessment</w:t>
      </w:r>
    </w:p>
    <w:p w:rsidRPr="2030048C" w:rsidP="2030048C">
      <w:pPr>
        <w:rPr>
          <w:rFonts w:ascii="Arial" w:eastAsia="Arial" w:hAnsi="Arial" w:cs="Arial"/>
          <w:sz w:val="24"/>
          <w:szCs w:val="24"/>
        </w:rPr>
      </w:pPr>
      <w:r w:rsidRPr="2030048C">
        <w:rPr>
          <w:rFonts w:ascii="Arial" w:eastAsia="Arial" w:hAnsi="Arial" w:cs="Arial"/>
          <w:sz w:val="22"/>
          <w:szCs w:val="22"/>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Draft submissions for comment;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Online discussion groups monitored by staff;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Self-administered or in-class quizzes to test recently covered lecture material;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Formal ‘client meetings’ in which notes are made and feedback given;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In class case study, practice and negotiation exercises; and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The preparation of portfolios of work based on weekly seminar work, where only the final portfolio is assessed summatively.</w:t>
      </w:r>
    </w:p>
    <w:p w:rsidRPr="2030048C" w:rsidP="2030048C">
      <w:pPr>
        <w:rPr>
          <w:rFonts w:ascii="Arial" w:eastAsia="Arial" w:hAnsi="Arial" w:cs="Arial"/>
          <w:sz w:val="24"/>
          <w:szCs w:val="24"/>
        </w:rPr>
      </w:pPr>
      <w:r w:rsidRPr="2030048C">
        <w:rPr>
          <w:rFonts w:ascii="Arial" w:eastAsia="Arial" w:hAnsi="Arial" w:cs="Arial"/>
          <w:sz w:val="22"/>
          <w:szCs w:val="22"/>
        </w:rPr>
        <w:t xml:space="preserve">Summative assessment takes a wide range of forms such as individual and group (small-team) coursework, case studies, presentations, an individual literature review and research project, mock hearings, and reflective report/essays which may be linked to site visits/field trips. The detailed information on assessments can be found in the module descriptors and detailed in the Assessment Calendar. In the case of this programme, which has a strong technical and legal content, each taught module is tested both by a variety of types of coursework brief, some individual some group but in the case of the programme, assessment is 100% coursework-based and there are no formal examinations.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designing coursework assignments, a policy has been adopted to ensure that, as far as possible, emphasis is placed on developing simulated and real-world experiences. This approach, which ensures that students write professional reports, enter debates and make oral presentations, is focused on developing employability skills. However, the Research Project and Methods module do ensure that they can create and sustain an argument and competently produce rigorous academic research.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designed to test up to five learning outcomes; therefore, in each module a range of assessment is undertaken with up to three formal summative points, spread throughout the year better to ensure an even workload for the student. Five modules (the 4 taught and Research Principles and Application) are taken throughout the first 2 teaching blocks and start of the third block if in full or part-time (latter is spread over 2 academic years) mode whilst the Research Project is undertaken primarily during teaching block 3 (during the period from May until August).  The final MSc Conference presentation takes place at the beginning of September at course end. </w:t>
      </w:r>
    </w:p>
    <w:p w:rsidRPr="2030048C" w:rsidP="2030048C">
      <w:pPr>
        <w:rPr>
          <w:rFonts w:ascii="Arial" w:eastAsia="Arial" w:hAnsi="Arial" w:cs="Arial"/>
          <w:sz w:val="24"/>
          <w:szCs w:val="24"/>
        </w:rPr>
      </w:pPr>
      <w:r w:rsidRPr="2030048C">
        <w:rPr>
          <w:rFonts w:ascii="Arial" w:eastAsia="Arial" w:hAnsi="Arial" w:cs="Arial"/>
          <w:sz w:val="22"/>
          <w:szCs w:val="22"/>
        </w:rPr>
        <w:t xml:space="preserve">In designing the amount of assessment to be undertaken in each module the principle is that as far as possible equivalence of effort and output is designed such that the output for each module will normally be in the range of 7000 total words or equivalent, with the exception of the Research Project and Methods module, which is between 12,000 to 15,000 words. </w:t>
      </w:r>
    </w:p>
    <w:p w:rsidRPr="2030048C" w:rsidP="2030048C">
      <w:pPr>
        <w:rPr>
          <w:rFonts w:ascii="Arial" w:eastAsia="Arial" w:hAnsi="Arial" w:cs="Arial"/>
          <w:sz w:val="24"/>
          <w:szCs w:val="24"/>
        </w:rPr>
      </w:pPr>
      <w:r w:rsidRPr="2030048C">
        <w:rPr>
          <w:rFonts w:ascii="Arial" w:eastAsia="Arial" w:hAnsi="Arial" w:cs="Arial"/>
          <w:sz w:val="22"/>
          <w:szCs w:val="22"/>
        </w:rPr>
        <w:t xml:space="preserve">Feedback to students on summative assessment is vitally important. This is delivered through a number of means such as formal written individual feedback which contains pointers for future improvement, class collective feedback, issuing of model answers and the with the use of video software.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 a variety of means at University, Faculty and Department level and by the Students’ Union. Our Academic Teams maintain as far as practicable an open-</w:t>
      </w:r>
      <w:r w:rsidRPr="2030048C">
        <w:rPr>
          <w:rFonts w:ascii="Arial" w:eastAsia="Arial" w:hAnsi="Arial" w:cs="Arial"/>
          <w:sz w:val="24"/>
          <w:szCs w:val="24"/>
        </w:rPr>
        <w:t xml:space="preserve">door policy in the spirit of supporting students. We are particularly mindful that postgraduate students, many of whom are balancing work, study and their personal lives, need clear ‘signposting’ to ensure that they are well supported and in a timely fashion. </w:t>
      </w:r>
    </w:p>
    <w:p w:rsidRPr="2030048C" w:rsidP="2030048C">
      <w:pPr>
        <w:jc w:val="both"/>
        <w:rPr>
          <w:rFonts w:ascii="Arial" w:eastAsia="Arial" w:hAnsi="Arial" w:cs="Arial"/>
          <w:sz w:val="24"/>
          <w:szCs w:val="24"/>
        </w:rPr>
      </w:pPr>
      <w:r w:rsidRPr="2030048C">
        <w:rPr>
          <w:rFonts w:ascii="Arial" w:eastAsia="Arial" w:hAnsi="Arial" w:cs="Arial"/>
          <w:sz w:val="24"/>
          <w:szCs w:val="24"/>
        </w:rPr>
        <w:t>The following mechanisms are used in support of students at the point of need:</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Module Leader for each module gives ‘front line’ support on technical matters relating to the subject material through the tutorial week sessions;</w:t>
      </w: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Course Director who can give support to help students understand the context of their discipline and the programme structure</w:t>
      </w: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Faculty Administration Team which provides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Staff Student Consultative Committee to promote good communication between students and staff and which ensures staff are aware of any collective concerns that students may have; </w:t>
      </w: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An induction programme and study skills sessions at the start of the academic year to ensure that students are aware of the expectations we have of them as they move through the programme;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full range of the university support services which includes BLASC (the Business and Law Academic Skills Centre), English language support and </w:t>
      </w:r>
      <w:r w:rsidRPr="2030048C">
        <w:rPr>
          <w:rFonts w:ascii="Arial" w:eastAsia="Arial" w:hAnsi="Arial" w:cs="Arial"/>
          <w:sz w:val="24"/>
          <w:szCs w:val="24"/>
        </w:rPr>
        <w:t>LinkedIn</w:t>
      </w:r>
      <w:r w:rsidRPr="2030048C">
        <w:rPr>
          <w:rFonts w:ascii="Arial" w:eastAsia="Arial" w:hAnsi="Arial" w:cs="Arial"/>
          <w:sz w:val="24"/>
          <w:szCs w:val="24"/>
        </w:rPr>
        <w:t xml:space="preserve"> Learning;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personal tutor appointed at induction to support both academic studies and other related matters; and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Mid-point and end of year student evaluations to ensure that modules continue to best service student learning needs.</w:t>
      </w:r>
    </w:p>
    <w:p w:rsidRPr="2030048C" w:rsidP="2030048C">
      <w:pPr>
        <w:jc w:val="both"/>
        <w:rPr>
          <w:rFonts w:ascii="Arial" w:eastAsia="Arial" w:hAnsi="Arial" w:cs="Arial"/>
          <w:sz w:val="24"/>
          <w:szCs w:val="24"/>
        </w:rPr>
      </w:pPr>
      <w:r w:rsidRPr="2030048C">
        <w:rPr>
          <w:rFonts w:ascii="Arial" w:eastAsia="Arial" w:hAnsi="Arial" w:cs="Arial"/>
          <w:sz w:val="24"/>
          <w:szCs w:val="24"/>
        </w:rPr>
        <w:t>A Range of Support for Careers and Employability:</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Close contact with the University Careers and Employability Service;</w:t>
      </w:r>
      <w:r w:rsidRPr="2030048C">
        <w:rPr>
          <w:rFonts w:ascii="Arial" w:eastAsia="Arial" w:hAnsi="Arial" w:cs="Arial"/>
          <w:sz w:val="24"/>
          <w:szCs w:val="24"/>
        </w:rPr>
        <w:t> </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Institute promotes relationships with employers and supports students locally with careers advice, CV writing, and organises events such as alumni evenings, speed interviewing etc.; </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Close contact with local and international employers and professional bodies and encouragement to students to enter professional competitions in which the Institute has an enviable record; and</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Support to students to gain placements and internships (the Careers and Employability Service team provides valuable guidance in supporting students with their placements, whether work, research, entrepreneurial or study abroad; a</w:t>
      </w:r>
      <w:r w:rsidRPr="2030048C">
        <w:rPr>
          <w:rFonts w:ascii="Arial" w:eastAsia="Arial" w:hAnsi="Arial" w:cs="Arial"/>
          <w:sz w:val="24"/>
          <w:szCs w:val="24"/>
        </w:rPr>
        <w:t xml:space="preserve">   </w:t>
      </w:r>
      <w:r w:rsidRPr="2030048C">
        <w:rPr>
          <w:rFonts w:ascii="Arial" w:eastAsia="Arial" w:hAnsi="Arial" w:cs="Arial"/>
          <w:sz w:val="24"/>
          <w:szCs w:val="24"/>
        </w:rPr>
        <w:t>Placement Tutor will visit during the professional placement and meet with the student and work place supervisor)</w:t>
      </w: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488"/>
        <w:gridCol w:w="915"/>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BT7101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BT7104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BT7109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BT7106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DEF3E61-B902-4D7F-8E70-00192FE6101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